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61" w:rsidRPr="00715461" w:rsidRDefault="00715461" w:rsidP="00715461">
      <w:pPr>
        <w:rPr>
          <w:rFonts w:ascii="Arial" w:hAnsi="Arial" w:cs="Arial"/>
          <w:color w:val="0070C0"/>
          <w:lang w:val="ru-RU"/>
        </w:rPr>
      </w:pPr>
      <w:r w:rsidRPr="00715461">
        <w:rPr>
          <w:rFonts w:ascii="Arial" w:hAnsi="Arial" w:cs="Arial"/>
          <w:color w:val="0070C0"/>
          <w:lang w:val="ru-RU"/>
        </w:rPr>
        <w:t>(допустимо заполнение в альбомном формате)</w:t>
      </w:r>
    </w:p>
    <w:p w:rsidR="00715461" w:rsidRPr="00D62762" w:rsidRDefault="00715461" w:rsidP="00715461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715461" w:rsidRPr="005E4FCB" w:rsidRDefault="00715461" w:rsidP="00715461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Отчет о соблюдении норм корпоративного управления для включения (поддержания) ценных бумаг в Котировальном списке первого </w:t>
      </w:r>
      <w:r w:rsidRPr="001D217B">
        <w:rPr>
          <w:rFonts w:ascii="Arial" w:hAnsi="Arial" w:cs="Arial"/>
          <w:b/>
          <w:color w:val="0070C0"/>
          <w:sz w:val="20"/>
          <w:lang w:val="ru-RU"/>
        </w:rPr>
        <w:t>(второго)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 уровня</w:t>
      </w:r>
    </w:p>
    <w:p w:rsidR="00715461" w:rsidRPr="005E4FCB" w:rsidRDefault="00715461" w:rsidP="00715461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15461" w:rsidRPr="005E4FCB" w:rsidRDefault="00715461" w:rsidP="00715461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715461" w:rsidRPr="005E4FCB" w:rsidRDefault="00715461" w:rsidP="00715461">
      <w:pPr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624"/>
        <w:gridCol w:w="5974"/>
      </w:tblGrid>
      <w:tr w:rsidR="00715461" w:rsidRPr="003F19AA" w:rsidTr="00D62762">
        <w:tc>
          <w:tcPr>
            <w:tcW w:w="4624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Полное наименование организации, указанное в Уставе</w:t>
            </w:r>
          </w:p>
        </w:tc>
        <w:tc>
          <w:tcPr>
            <w:tcW w:w="5974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24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Краткое наименование организации, указанное в Уставе</w:t>
            </w:r>
          </w:p>
        </w:tc>
        <w:tc>
          <w:tcPr>
            <w:tcW w:w="5974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15461" w:rsidRPr="00D159CA" w:rsidTr="00D62762">
        <w:tc>
          <w:tcPr>
            <w:tcW w:w="4624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974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15461" w:rsidRPr="005E4FCB" w:rsidRDefault="00715461" w:rsidP="0071546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69"/>
        <w:gridCol w:w="2900"/>
        <w:gridCol w:w="1842"/>
        <w:gridCol w:w="5387"/>
      </w:tblGrid>
      <w:tr w:rsidR="00715461" w:rsidRPr="00D159C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Перечень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норм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корпоративного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управления</w:t>
            </w:r>
            <w:proofErr w:type="spellEnd"/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Соблюдение нормы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(указать: </w:t>
            </w:r>
            <w:r w:rsidRPr="005E4FCB">
              <w:rPr>
                <w:rFonts w:ascii="Arial" w:hAnsi="Arial" w:cs="Arial"/>
                <w:i/>
                <w:sz w:val="18"/>
                <w:szCs w:val="18"/>
                <w:lang w:val="ru-RU" w:eastAsia="ru-RU"/>
              </w:rPr>
              <w:t>полностью, частично, не соблюдается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Примечание</w:t>
            </w:r>
            <w:proofErr w:type="spellEnd"/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Эмитентом должен быть сформирован совет директоров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1.1. Документ с реквизитами, закрепляющий данное положение и номер пункта/статьи.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1.2. Состав действующего на момент составления отчета совета директоров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6"/>
              <w:gridCol w:w="1496"/>
              <w:gridCol w:w="1470"/>
              <w:gridCol w:w="1499"/>
            </w:tblGrid>
            <w:tr w:rsidR="00715461" w:rsidRPr="003F19AA" w:rsidTr="00D62762">
              <w:tc>
                <w:tcPr>
                  <w:tcW w:w="71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531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1531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532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</w:tr>
          </w:tbl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1.3. Дата проведения общего собрания акционеров, на котором избран действующий состав совета директоров, дата и номер протокола собрания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D159C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В состав совета директоров должны входить, в том числе лица, каждое из которых обладает достаточной самостоятельностью для формирования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собственной позиции и способно выносить объективные суждения, независимые от влияния исполнительных органов эмитента, отдельных групп акционеров или иных заинтересованных лиц, а также обладает достаточной степенью профессионализма и опыта (далее – независимый директор*).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Количество независимых директоров должно составлять не менее одной пятой состава совета директоров и не может быть меньше трех.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ФИО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независимых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директоров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1181"/>
              <w:gridCol w:w="1106"/>
              <w:gridCol w:w="1184"/>
              <w:gridCol w:w="1146"/>
            </w:tblGrid>
            <w:tr w:rsidR="00715461" w:rsidRPr="00D159CA" w:rsidTr="00D62762">
              <w:tc>
                <w:tcPr>
                  <w:tcW w:w="573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Имя</w:t>
                  </w:r>
                  <w:proofErr w:type="spellEnd"/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Отчество</w:t>
                  </w:r>
                  <w:proofErr w:type="spellEnd"/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Статус</w:t>
                  </w:r>
                  <w:proofErr w:type="spellEnd"/>
                </w:p>
              </w:tc>
            </w:tr>
          </w:tbl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Советом директоров эмитента должен быть сформирован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комитет по аудиту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, возглавляемый независимым директором. Комитет по аудиту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 xml:space="preserve">должен состоять из независимых директоров, а если это невозможно в силу объективных причин – большинство членов комитета должны составлять независимые директора, а остальными членами комитета могут быть члены совета директоров, не являющиеся единоличным исполнительным органом и (или) членами коллегиального исполнительного органа эмитента.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документа с реквизитами, закрепляющего функции комитета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аудиту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контроль за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обеспечением полноты, точности и достоверности финансовой отчетности эмитента;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контроль за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надежностью и эффективностью функционирования системы управления рисками и внутреннего контроля;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- обеспечение независимости и объективности осуществления функций внутреннего и внешнего аудита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комитета (с указанием независимых и/или неисполнительных директоров):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1181"/>
              <w:gridCol w:w="1106"/>
              <w:gridCol w:w="1184"/>
              <w:gridCol w:w="1146"/>
            </w:tblGrid>
            <w:tr w:rsidR="00715461" w:rsidRPr="003F19AA" w:rsidTr="00D62762">
              <w:tc>
                <w:tcPr>
                  <w:tcW w:w="573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Статус</w:t>
                  </w:r>
                </w:p>
              </w:tc>
            </w:tr>
          </w:tbl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Документ об избрании комитета___________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функции комитета по аудиту: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Советом директоров эмитента должен быть сформирован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комитет по вознаграждениям.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Комитет по вознаграждениям должен состоять из независимых директоров, а если это невозможно в силу объективных причин – большинство членов комитета должны составлять независимые директора, а остальными членами комитета могут быть члены совета директоров, не являющиеся единоличным исполнительным органом и (или) членами коллегиального исполнительного органа эмитента.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документа с реквизитами, закрепляющего функции комитета 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 вознаграждениям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: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разработка и периодический пересмотр политики эмитента по вознаграждению членов совета директоров, единоличного исполнительного органа и членов коллегиального исполнительного органа эмитента, надзор за ее внедрением и реализацией;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предварительная оценка работы коллегиального исполнительного органа эмитента и единоличного исполнительного органа эмитента по итогам года в соответствии с политикой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 xml:space="preserve">эмитента по вознаграждению;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разработка условий досрочного расторжения трудовых договоров с единоличным исполнительным органом и членами коллегиального исполнительного органа эмитента, включая все материальные обязательства эмитента и условия их предоставления;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- разработка рекомендаций совету директоров по определению размера вознаграждения и принципов премирования корпоративного секретаря (руководителя структурного подразделения, осуществляющего функции корпоративного секретаря) эмитента.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комитета (с указанием независимых и/или неисполнительных директоров):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1181"/>
              <w:gridCol w:w="1106"/>
              <w:gridCol w:w="1184"/>
              <w:gridCol w:w="1146"/>
            </w:tblGrid>
            <w:tr w:rsidR="00715461" w:rsidRPr="003F19AA" w:rsidTr="00D62762">
              <w:tc>
                <w:tcPr>
                  <w:tcW w:w="573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Статус</w:t>
                  </w:r>
                </w:p>
              </w:tc>
            </w:tr>
          </w:tbl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об избрании комитета___________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указанные функции комитета: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Советом директоров эмитента должен быть сформирован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комитет по номинациям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(кадрам, назначениям) (далее – комитет по номинациям).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Большинство членов комитета по номинациям должны быть независимыми директорами, а остальными членами комитета могут быть члены совета директоров, не являющиеся единоличным исполнительным органом и (или) членами коллегиального исполнительного органа эмитента.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документа с реквизитами, закрепляющего функции комитета 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 номинациям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: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ежегодное проведение детальной формализованной процедуры самооценки или внешней оценки эффективности работы совета директоров и его членов, а также комитетов совета директоров, определение приоритетных направлений для усиления состава совета директоров; </w:t>
            </w:r>
            <w:proofErr w:type="gramEnd"/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взаимодействие с акционерами, которое не должно ограничиваться кругом крупнейших акционеров, с целью формирования рекомендаций акционерам в отношении голосования по вопросу избрания кандидатов в совет директоров эмитента;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планирование кадровых назначений, в том числе с учетом обеспечения преемственности деятельности, членов коллегиального исполнительного органа и единоличного исполнительного органа, формирование рекомендаций совету директоров в отношении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кандидатов на должность корпоративного секретаря (руководителя структурного подразделения, осуществляющего функции корпоративного секретаря), членов исполнительных органов эмитента и иных ключевых руководящих работников.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i/>
                <w:sz w:val="18"/>
                <w:szCs w:val="18"/>
                <w:lang w:val="ru-RU" w:eastAsia="ru-RU"/>
              </w:rPr>
              <w:t>Функции комитета по номинациям могут быть переданы комитету по вознаграждениям, комитету по корпоративному управлению или иному комитету совета директоров.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комитета (с указанием независимых и/или неисполнительных директоров):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1181"/>
              <w:gridCol w:w="1106"/>
              <w:gridCol w:w="1184"/>
              <w:gridCol w:w="1146"/>
            </w:tblGrid>
            <w:tr w:rsidR="00715461" w:rsidRPr="003F19AA" w:rsidTr="00D62762">
              <w:tc>
                <w:tcPr>
                  <w:tcW w:w="573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  <w:tc>
                <w:tcPr>
                  <w:tcW w:w="1225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Статус</w:t>
                  </w:r>
                </w:p>
              </w:tc>
            </w:tr>
          </w:tbl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об избрании комитета___________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указанные функции комитета: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6.1.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корпоративного секретаря либо специального структурного подразделения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(структурных подразделений), осуществляющего (осуществляющих) функции корпоративного секретаря.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приказа о назначении корпоративного секретаря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и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документа с реквизитами, закрепляющего выполнение следующих функций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обеспечение взаимодействия эмитента с органами регулирования, организаторами торговли, регистратором, иными профессиональными участниками рынка ценных бумаг в рамках полномочий, закрепленных за корпоративным секретарем;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незамедлительное информирование совета директоров обо всех выявленных нарушениях законодательства, а также положений внутренних документов общества, соблюдение которых относится к функциям корпоративного секретаря общества.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6.2. Корпоративный секретарь (специальное структурное подразделение, осуществляющее функции корпоративного секретаря) может осуществлять иные функции, установленные положением о корпоративном секретаре (специальном структурном подразделении, осуществляющем функции корпоративного секретаря). Корпоративный секретарь (руководитель специального структурного подразделения, осуществляющего функции корпоративного секретаря) подотчетен совету директоров эмитента, назначается на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должность и освобождается от занимаемой должности единоличным исполнительным органом эмитента с согласия совета директоров или по согласованию с ним.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6.1. Документ с реквизитами, подтверждающий создание такого подразделения / назначение корпоративного секретаря, а также реквизиты приказа о назначении корпоративного секретаря: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6.2. Документ с реквизитами, закрепляющий данное положение и номер пункта/статьи.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эмитента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утвержденного советом директоров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положения о корпоративном секретаре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(специальном структурном подразделении (структурных подразделениях), осуществляющем (осуществляющих) функции корпоративного секретаря), разработанного с учетом положений Кодекса корпоративного управления, рекомендованного к применению Банком России.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При этом в случае несоответствия указанного положения Кодексу корпоративного управления, рекомендованному к применению Банком России, информация с объяснениями причин такого несоответствия должна быть раскрыта.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4"/>
              <w:gridCol w:w="1205"/>
              <w:gridCol w:w="1086"/>
              <w:gridCol w:w="1306"/>
            </w:tblGrid>
            <w:tr w:rsidR="00715461" w:rsidRPr="003F19AA" w:rsidTr="00D62762">
              <w:tc>
                <w:tcPr>
                  <w:tcW w:w="1576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Корпоративный секретарь</w:t>
                  </w:r>
                </w:p>
              </w:tc>
              <w:tc>
                <w:tcPr>
                  <w:tcW w:w="1287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1276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418" w:type="dxa"/>
                </w:tcPr>
                <w:p w:rsidR="00715461" w:rsidRPr="005E4FCB" w:rsidRDefault="00715461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</w:tr>
          </w:tbl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Положение о корпоративном секретаре (подразделени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и(</w:t>
            </w:r>
            <w:proofErr w:type="spellStart"/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ях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), осуществляющем (их) функции корпоративного секретаря)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соответствует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рекомендациям Кодекса корпоративного управления</w:t>
            </w: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Наличие у эмитента, утвержденного советом директоров документа, определяющего дивидендную политику эмитента.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отдельного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структурного подразделения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(отдельных структурных подразделений), осуществляющего (осуществляющих)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внутренний аудит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, или организация проведения внутреннего аудита с привлечением эмитентом внешней независимой организации.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При этом функциями внутреннего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аудита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в том числе являются: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оценка эффективности системы внутреннего контроля;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оценка эффективности системы управления рисками (для кредитных организаций </w:t>
            </w:r>
            <w:proofErr w:type="gramEnd"/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проверка эффективности методологии оценки банковских рисков и процедур управления банковскими рисками, установленных внутренними документами кредитной организации (методиками, программами, правилами, порядками и процедурами совершения банковских операций и сделок, управления банковскими рисками), и полноты применения указанных документов, проверка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 xml:space="preserve">деятельности службы управления рисками); 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- оценка корпоративного управления (в случае отсутствия комитета по корпоративному управлению).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указанные функции подразделения: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Руководитель структурного подразделения эмитента, осуществляющего внутренний аудит (должностное лицо эмитента, отвечающее за осуществление внутреннего аудита, в непосредственном подчинении которого находится руководитель такого структурного подразделения),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эмитента, функционально подотчетен (подотчетно) совету директоров эмитента, а административно - единоличному исполнительному органу.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При этом указанные лица не должны осуществлять управление функциональными направлениями деятельности эмитента, требующими принятия управленческих решений в отношении объектов аудита.</w:t>
            </w:r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Документ с реквизитами, закрепляющий данные нормы и номер пунктов/статей.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3F19AA" w:rsidTr="00D62762"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политики в области внутреннего аудита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(положения о внутреннем аудите), утвержденной (утвержденного) советом директоров эмитента, которая (которое) определяет цели, задачи и полномочия структурного подразделения (структурных подразделений), осуществляющего (осуществляющих) функции внутреннего аудита (внешней независимой организации), а в случае привлечения для осуществления внутреннего аудита внешней независимой организации - также порядок выбора такой организации и заключения с ней договора.</w:t>
            </w:r>
            <w:proofErr w:type="gramEnd"/>
          </w:p>
        </w:tc>
        <w:tc>
          <w:tcPr>
            <w:tcW w:w="1842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87" w:type="dxa"/>
          </w:tcPr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Документ с реквизитами, определяющий политику в области внутреннего аудита, закрепляющий данную норму и номер пункта/статьи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715461" w:rsidRPr="005E4FCB" w:rsidRDefault="00715461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715461" w:rsidRPr="005E4FCB" w:rsidRDefault="00715461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15461" w:rsidRPr="00D159CA" w:rsidTr="001D217B">
        <w:trPr>
          <w:trHeight w:val="275"/>
        </w:trPr>
        <w:tc>
          <w:tcPr>
            <w:tcW w:w="469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00" w:type="dxa"/>
          </w:tcPr>
          <w:p w:rsidR="00715461" w:rsidRPr="005E4FCB" w:rsidRDefault="00715461" w:rsidP="00D6276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Комментарии</w:t>
            </w:r>
            <w:proofErr w:type="spellEnd"/>
          </w:p>
        </w:tc>
        <w:tc>
          <w:tcPr>
            <w:tcW w:w="7229" w:type="dxa"/>
            <w:gridSpan w:val="2"/>
          </w:tcPr>
          <w:p w:rsidR="00715461" w:rsidRPr="005E4FCB" w:rsidRDefault="00715461" w:rsidP="00D6276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715461" w:rsidRDefault="00715461" w:rsidP="00715461">
      <w:pPr>
        <w:rPr>
          <w:rFonts w:ascii="Arial" w:hAnsi="Arial" w:cs="Arial"/>
          <w:sz w:val="20"/>
          <w:szCs w:val="20"/>
          <w:lang w:val="ru-RU"/>
        </w:rPr>
      </w:pPr>
    </w:p>
    <w:p w:rsidR="001D217B" w:rsidRDefault="001D217B" w:rsidP="00715461">
      <w:pPr>
        <w:rPr>
          <w:rFonts w:ascii="Arial" w:hAnsi="Arial" w:cs="Arial"/>
          <w:sz w:val="20"/>
          <w:szCs w:val="20"/>
          <w:lang w:val="ru-RU"/>
        </w:rPr>
      </w:pPr>
    </w:p>
    <w:p w:rsidR="001D217B" w:rsidRPr="005E4FCB" w:rsidRDefault="001D217B" w:rsidP="00715461">
      <w:pPr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715461" w:rsidRPr="005E4FCB" w:rsidRDefault="00715461" w:rsidP="00715461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(Ф.И.О.)     </w:t>
      </w:r>
    </w:p>
    <w:p w:rsidR="00715461" w:rsidRPr="005E4FCB" w:rsidRDefault="00715461" w:rsidP="00715461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эмитента или                                          </w:t>
      </w:r>
      <w:proofErr w:type="gramEnd"/>
    </w:p>
    <w:p w:rsidR="00D63C49" w:rsidRPr="00715461" w:rsidRDefault="00715461" w:rsidP="00715461">
      <w:pPr>
        <w:rPr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 эмитента)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sectPr w:rsidR="00D63C49" w:rsidRPr="00715461" w:rsidSect="001A24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BAD"/>
    <w:multiLevelType w:val="multilevel"/>
    <w:tmpl w:val="500E9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EE"/>
    <w:rsid w:val="001A24D6"/>
    <w:rsid w:val="001D217B"/>
    <w:rsid w:val="004C4CFA"/>
    <w:rsid w:val="00715461"/>
    <w:rsid w:val="007C6DEE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4D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A24D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24D6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1A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4D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A24D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24D6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1A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2023-04-19T13:44:00Z</dcterms:created>
  <dcterms:modified xsi:type="dcterms:W3CDTF">2023-04-19T15:10:00Z</dcterms:modified>
</cp:coreProperties>
</file>