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24" w:rsidRPr="005E4FCB" w:rsidRDefault="001F2324" w:rsidP="001F2324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D4945E9" wp14:editId="2F0BEA51">
            <wp:simplePos x="0" y="0"/>
            <wp:positionH relativeFrom="column">
              <wp:posOffset>88900</wp:posOffset>
            </wp:positionH>
            <wp:positionV relativeFrom="paragraph">
              <wp:posOffset>126365</wp:posOffset>
            </wp:positionV>
            <wp:extent cx="1752600" cy="2476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324" w:rsidRPr="005E4FCB" w:rsidRDefault="001F2324" w:rsidP="001F2324">
      <w:pPr>
        <w:ind w:left="7080" w:firstLine="708"/>
        <w:jc w:val="center"/>
        <w:rPr>
          <w:rFonts w:ascii="Arial" w:hAnsi="Arial" w:cs="Arial"/>
          <w:sz w:val="20"/>
          <w:szCs w:val="20"/>
          <w:lang w:val="ru-RU"/>
        </w:rPr>
      </w:pPr>
      <w:r w:rsidRPr="0052576C">
        <w:rPr>
          <w:rFonts w:ascii="Arial" w:hAnsi="Arial" w:cs="Arial"/>
          <w:sz w:val="20"/>
          <w:szCs w:val="20"/>
        </w:rPr>
        <w:t>[Логотип эмитента]</w:t>
      </w:r>
    </w:p>
    <w:p w:rsidR="001F2324" w:rsidRPr="005E4FCB" w:rsidRDefault="001F2324" w:rsidP="001F2324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921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ИНВЕСТИЦИОННЫЙ МЕМОРАНДУМ</w:t>
      </w:r>
    </w:p>
    <w:p w:rsidR="001F2324" w:rsidRPr="005E4FCB" w:rsidRDefault="001F2324" w:rsidP="001F2324">
      <w:pPr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</w:t>
      </w: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[полное фирменное наименование эмитента ценных бумаг]</w:t>
      </w: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B073" wp14:editId="7FCC2229">
                <wp:simplePos x="0" y="0"/>
                <wp:positionH relativeFrom="column">
                  <wp:posOffset>24130</wp:posOffset>
                </wp:positionH>
                <wp:positionV relativeFrom="paragraph">
                  <wp:posOffset>167640</wp:posOffset>
                </wp:positionV>
                <wp:extent cx="6368415" cy="0"/>
                <wp:effectExtent l="0" t="0" r="133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826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13.2pt" to="50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" strokecolor="#ff8261" strokeweight="1.5pt"/>
            </w:pict>
          </mc:Fallback>
        </mc:AlternateContent>
      </w: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[указываются вид, категория (тип), серия и иные идентификационные признаки ценных бумаг, способ размещения]</w:t>
      </w:r>
    </w:p>
    <w:p w:rsidR="001F2324" w:rsidRPr="005E4FCB" w:rsidRDefault="001F2324" w:rsidP="001F2324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D04D0" wp14:editId="2A8E682B">
                <wp:simplePos x="0" y="0"/>
                <wp:positionH relativeFrom="column">
                  <wp:posOffset>27674</wp:posOffset>
                </wp:positionH>
                <wp:positionV relativeFrom="paragraph">
                  <wp:posOffset>128699</wp:posOffset>
                </wp:positionV>
                <wp:extent cx="6368902" cy="0"/>
                <wp:effectExtent l="0" t="0" r="133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82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10.15pt" to="50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" strokecolor="#ff8261" strokeweight="1.5pt"/>
            </w:pict>
          </mc:Fallback>
        </mc:AlternateContent>
      </w:r>
    </w:p>
    <w:p w:rsidR="001F2324" w:rsidRPr="005E4FCB" w:rsidRDefault="001F2324" w:rsidP="001F2324">
      <w:pPr>
        <w:tabs>
          <w:tab w:val="left" w:pos="3668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отношении указанных ценных бумаг не осуществлена регистрация проспекта ценных бумаг.</w:t>
      </w:r>
    </w:p>
    <w:p w:rsidR="001F2324" w:rsidRPr="005E4FCB" w:rsidRDefault="001F2324" w:rsidP="001F2324">
      <w:pPr>
        <w:tabs>
          <w:tab w:val="left" w:pos="3668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Информация, содержащаяся в настоящем инвестиционном меморандуме, подлежит раскрытию в соответствии с требованиями Правил листинга </w:t>
      </w:r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(делистинга) ценных бумаг </w:t>
      </w:r>
      <w:r w:rsidRPr="005E4FCB">
        <w:rPr>
          <w:rFonts w:ascii="Arial" w:hAnsi="Arial" w:cs="Arial"/>
          <w:sz w:val="20"/>
          <w:szCs w:val="20"/>
          <w:lang w:val="ru-RU"/>
        </w:rPr>
        <w:t>к раскрытию информации эмитентами, ценные бумаги которых допущены к организованным торгам без их включения в котировальные списки и без регистрации проспекта ценных бумаг.</w:t>
      </w:r>
    </w:p>
    <w:p w:rsidR="001F2324" w:rsidRPr="005E4FCB" w:rsidRDefault="001F2324" w:rsidP="001F2324">
      <w:pPr>
        <w:tabs>
          <w:tab w:val="left" w:pos="36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0150" w:type="dxa"/>
        <w:jc w:val="center"/>
        <w:tblBorders>
          <w:top w:val="double" w:sz="4" w:space="0" w:color="FF8261"/>
          <w:left w:val="double" w:sz="4" w:space="0" w:color="FF8261"/>
          <w:bottom w:val="double" w:sz="4" w:space="0" w:color="FF8261"/>
          <w:right w:val="double" w:sz="4" w:space="0" w:color="FF826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6"/>
        <w:gridCol w:w="288"/>
        <w:gridCol w:w="1416"/>
        <w:gridCol w:w="138"/>
        <w:gridCol w:w="1988"/>
        <w:gridCol w:w="564"/>
      </w:tblGrid>
      <w:tr w:rsidR="001F2324" w:rsidRPr="0052576C" w:rsidTr="00D62762">
        <w:trPr>
          <w:cantSplit/>
          <w:trHeight w:hRule="exact" w:val="1253"/>
          <w:jc w:val="center"/>
        </w:trPr>
        <w:tc>
          <w:tcPr>
            <w:tcW w:w="5756" w:type="dxa"/>
            <w:shd w:val="clear" w:color="auto" w:fill="auto"/>
            <w:vAlign w:val="bottom"/>
          </w:tcPr>
          <w:p w:rsidR="001F2324" w:rsidRPr="005E4FCB" w:rsidRDefault="001F2324" w:rsidP="00D62762">
            <w:pPr>
              <w:shd w:val="clear" w:color="auto" w:fill="FFFFFF"/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[</w:t>
            </w:r>
            <w:r w:rsidRPr="005E4FC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должности руководителя эмитента/уполномоченного представителя эмитента</w:t>
            </w: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]</w:t>
            </w:r>
            <w:r w:rsidRPr="005E4FC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E4FCB">
              <w:rPr>
                <w:rStyle w:val="a5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88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8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shd w:val="clear" w:color="auto" w:fill="auto"/>
            <w:vAlign w:val="bottom"/>
            <w:hideMark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5E4F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2324" w:rsidRPr="0052576C" w:rsidTr="00D62762">
        <w:trPr>
          <w:cantSplit/>
          <w:jc w:val="center"/>
        </w:trPr>
        <w:tc>
          <w:tcPr>
            <w:tcW w:w="5756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4FC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38" w:type="dxa"/>
            <w:shd w:val="clear" w:color="auto" w:fill="auto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hideMark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4FCB">
              <w:rPr>
                <w:rFonts w:ascii="Arial" w:hAnsi="Arial" w:cs="Arial"/>
                <w:sz w:val="20"/>
                <w:szCs w:val="20"/>
              </w:rPr>
              <w:t>(И.О. Фамилия)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1F2324" w:rsidRPr="005E4FCB" w:rsidRDefault="001F2324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F2324" w:rsidRPr="005E4FCB" w:rsidRDefault="001F2324" w:rsidP="001F2324">
      <w:pPr>
        <w:tabs>
          <w:tab w:val="left" w:pos="3668"/>
        </w:tabs>
        <w:jc w:val="center"/>
        <w:rPr>
          <w:rFonts w:ascii="Arial" w:eastAsia="Times New Roman" w:hAnsi="Arial" w:cs="Arial"/>
          <w:sz w:val="20"/>
          <w:szCs w:val="20"/>
        </w:rPr>
      </w:pPr>
    </w:p>
    <w:p w:rsidR="001F2324" w:rsidRPr="005E4FCB" w:rsidRDefault="001F2324" w:rsidP="001F2324">
      <w:pPr>
        <w:pStyle w:val="ConsPlusNormal0"/>
        <w:tabs>
          <w:tab w:val="left" w:pos="3668"/>
        </w:tabs>
        <w:ind w:firstLine="540"/>
        <w:jc w:val="both"/>
      </w:pPr>
    </w:p>
    <w:p w:rsidR="001F2324" w:rsidRPr="005E4FCB" w:rsidRDefault="001F2324" w:rsidP="001F2324">
      <w:pPr>
        <w:pStyle w:val="ConsPlusNormal0"/>
        <w:tabs>
          <w:tab w:val="left" w:pos="3668"/>
        </w:tabs>
        <w:ind w:firstLine="0"/>
        <w:jc w:val="both"/>
      </w:pPr>
      <w:r w:rsidRPr="005E4FCB">
        <w:t>Настоящий инвестиционный меморандум содержит сведения об эмитенте, о финансово-хозяйственной деятельности эмитента, финансовом состоянии эмитента, о размещаемых (размещенных) ценных бумагах и исполнении обязательств по ним, сведения о лице, предоставляющем обеспечение по облигациям эмитента</w:t>
      </w:r>
      <w:r w:rsidRPr="005E4FCB">
        <w:rPr>
          <w:rStyle w:val="a5"/>
          <w:rFonts w:eastAsiaTheme="majorEastAsia"/>
        </w:rPr>
        <w:footnoteReference w:id="2"/>
      </w:r>
      <w:r w:rsidRPr="005E4FCB">
        <w:t>. Инвесторы не должны полностью полагаться на оценки и прогнозы эмитента, приведенные в настоящем инвестиционном меморандуме, так как фактические результаты деятельности эмитента (эмитента и лица, предоставляющего обеспечение по облигациям эмитента)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инвестиционном меморандуме</w:t>
      </w:r>
      <w:r w:rsidRPr="005E4FCB">
        <w:rPr>
          <w:rStyle w:val="a5"/>
          <w:rFonts w:eastAsiaTheme="majorEastAsia"/>
        </w:rPr>
        <w:footnoteReference w:id="3"/>
      </w:r>
      <w:r w:rsidRPr="005E4FCB">
        <w:t>.</w:t>
      </w:r>
    </w:p>
    <w:p w:rsidR="001F2324" w:rsidRPr="0052576C" w:rsidRDefault="001F2324" w:rsidP="001F2324">
      <w:pPr>
        <w:rPr>
          <w:rFonts w:ascii="Arial" w:hAnsi="Arial" w:cs="Arial"/>
          <w:b/>
          <w:sz w:val="20"/>
          <w:szCs w:val="20"/>
          <w:lang w:val="ru-RU"/>
        </w:rPr>
      </w:pPr>
      <w:r w:rsidRPr="0052576C">
        <w:rPr>
          <w:rFonts w:ascii="Arial" w:hAnsi="Arial" w:cs="Arial"/>
          <w:b/>
          <w:sz w:val="20"/>
          <w:szCs w:val="20"/>
          <w:lang w:val="ru-RU"/>
        </w:rPr>
        <w:br w:type="page"/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0" w:name="_Toc90479314"/>
      <w:r w:rsidRPr="005E4FCB">
        <w:rPr>
          <w:rFonts w:ascii="Arial" w:hAnsi="Arial" w:cs="Arial"/>
          <w:b/>
          <w:sz w:val="20"/>
          <w:szCs w:val="20"/>
          <w:lang w:val="ru-RU"/>
        </w:rPr>
        <w:lastRenderedPageBreak/>
        <w:t>1. СВЕДЕНИЯ О ПАРАМЕТРАХ ВЫПУСКА ЦЕННЫХ БУМАГ И ЭМИТЕНТЕ</w:t>
      </w:r>
      <w:bookmarkEnd w:id="0"/>
    </w:p>
    <w:p w:rsidR="001F2324" w:rsidRPr="005E4FCB" w:rsidRDefault="001F2324" w:rsidP="001F2324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bookmarkStart w:id="1" w:name="_Toc90479315"/>
      <w:r w:rsidRPr="005E4FCB">
        <w:rPr>
          <w:rFonts w:ascii="Arial" w:hAnsi="Arial" w:cs="Arial"/>
          <w:b/>
          <w:sz w:val="20"/>
          <w:szCs w:val="20"/>
        </w:rPr>
        <w:t>ОБЩИЕ ПАРАМЕТРЫ ВЫПУСКА ЦЕННЫХ БУМАГ ЭМИТЕНТА</w:t>
      </w:r>
      <w:r w:rsidRPr="00653901">
        <w:rPr>
          <w:rFonts w:ascii="Arial" w:hAnsi="Arial" w:cs="Arial"/>
          <w:sz w:val="20"/>
          <w:szCs w:val="20"/>
          <w:vertAlign w:val="superscript"/>
        </w:rPr>
        <w:footnoteReference w:id="4"/>
      </w:r>
      <w:bookmarkEnd w:id="1"/>
    </w:p>
    <w:p w:rsidR="001F2324" w:rsidRPr="0052576C" w:rsidRDefault="001F2324" w:rsidP="001F2324">
      <w:pPr>
        <w:pStyle w:val="a3"/>
        <w:tabs>
          <w:tab w:val="left" w:pos="3668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3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7"/>
        <w:gridCol w:w="5859"/>
      </w:tblGrid>
      <w:tr w:rsidR="001F2324" w:rsidRPr="0052576C" w:rsidTr="00D62762">
        <w:trPr>
          <w:trHeight w:val="239"/>
        </w:trPr>
        <w:tc>
          <w:tcPr>
            <w:tcW w:w="45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ценных бумаг</w:t>
            </w:r>
          </w:p>
        </w:tc>
        <w:tc>
          <w:tcPr>
            <w:tcW w:w="585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3F19AA" w:rsidTr="00D62762">
        <w:trPr>
          <w:trHeight w:val="85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Категория (тип), серия для облигаций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3F19AA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размещения (кол-во ед./руб.)</w:t>
            </w:r>
            <w:bookmarkStart w:id="2" w:name="_GoBack"/>
            <w:bookmarkEnd w:id="2"/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52576C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Номинальная стоимость ценной бумаги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Валюта номинальной стоимости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обращения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3F19AA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Условия обеспечения (для облигаций с обеспечением)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52576C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Оферта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3F19AA" w:rsidTr="00D62762">
        <w:trPr>
          <w:trHeight w:val="431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Представитель владельцев облигаций (при наличии)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3F19AA" w:rsidTr="00D62762">
        <w:trPr>
          <w:trHeight w:val="20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Круг инвесторов /выгодоприобретатели ценных бумаг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3F19AA" w:rsidTr="00D62762">
        <w:trPr>
          <w:trHeight w:val="431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Лицо(-а), предоставившее(-ие) обеспечение (поручительство) по облигациям (при наличии), включая полное и сокращенное фирменные наименования, ИНН, ОГРН, место нахождения, дата государственной регистрации данных лиц, а также адрес страницы в сети Интернет, на которой размещен документ, содержащий сведения о лице(-ах), предоставившем(-их) обеспечение и условиях предоставляемого им обеспечения в соответствии со статьей 27.2 Федерального закона от 22.04.1996 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39-ФЗ «О рынке ценных бумаг»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3F19AA" w:rsidTr="00D62762">
        <w:trPr>
          <w:trHeight w:val="61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Наименование(-я) аудитора(ов) (по РСБУ и МСФО, при наличии)/периоды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F2324" w:rsidRPr="0052576C" w:rsidTr="00D62762">
        <w:trPr>
          <w:trHeight w:val="225"/>
        </w:trPr>
        <w:tc>
          <w:tcPr>
            <w:tcW w:w="45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F2324" w:rsidRPr="005E4FCB" w:rsidRDefault="001F2324" w:rsidP="001F2324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bookmarkStart w:id="3" w:name="_Toc90479316"/>
    </w:p>
    <w:p w:rsidR="001F2324" w:rsidRPr="005E4FCB" w:rsidRDefault="001F2324" w:rsidP="001F2324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>КРАТКИЕ СВЕДЕНИЯ ОБ ЭМИТЕНТЕ</w:t>
      </w:r>
      <w:bookmarkEnd w:id="3"/>
    </w:p>
    <w:p w:rsidR="001F2324" w:rsidRPr="005E4FCB" w:rsidRDefault="001F2324" w:rsidP="001F2324">
      <w:pPr>
        <w:pStyle w:val="a3"/>
        <w:tabs>
          <w:tab w:val="left" w:pos="3668"/>
        </w:tabs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1053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577"/>
        <w:gridCol w:w="5953"/>
      </w:tblGrid>
      <w:tr w:rsidR="001F2324" w:rsidRPr="0052576C" w:rsidTr="00D62762">
        <w:trPr>
          <w:trHeight w:val="74"/>
        </w:trPr>
        <w:tc>
          <w:tcPr>
            <w:tcW w:w="4577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595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 наименование эмитента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государственной регистрации/ОГРН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/КПП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вид деятельности эмитента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rPr>
          <w:trHeight w:val="74"/>
        </w:trPr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Корпоративный сайт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  <w:tcBorders>
              <w:bottom w:val="single" w:sz="4" w:space="0" w:color="000000" w:themeColor="text1"/>
            </w:tcBorders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эмитента 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52576C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ЕИО (ФИО):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E4FCB" w:rsidRDefault="001F2324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2324" w:rsidRPr="003F19AA" w:rsidTr="00D62762">
        <w:tc>
          <w:tcPr>
            <w:tcW w:w="4577" w:type="dxa"/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Контактный телефон (с междугородним кодом).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F2324" w:rsidRPr="0052576C" w:rsidRDefault="001F2324" w:rsidP="00D62762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/>
              </w:rPr>
            </w:pPr>
          </w:p>
        </w:tc>
      </w:tr>
      <w:tr w:rsidR="001F2324" w:rsidRPr="0052576C" w:rsidTr="00D62762">
        <w:tc>
          <w:tcPr>
            <w:tcW w:w="4577" w:type="dxa"/>
            <w:tcBorders>
              <w:bottom w:val="single" w:sz="4" w:space="0" w:color="000000" w:themeColor="text1"/>
            </w:tcBorders>
          </w:tcPr>
          <w:p w:rsidR="001F2324" w:rsidRPr="005E4FCB" w:rsidRDefault="001F2324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ектронной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почты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2324" w:rsidRPr="0052576C" w:rsidRDefault="001F2324" w:rsidP="00D62762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1F2324" w:rsidRPr="005E4FCB" w:rsidRDefault="001F2324" w:rsidP="001F232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bookmarkStart w:id="4" w:name="_Toc90479317"/>
    </w:p>
    <w:p w:rsidR="001F2324" w:rsidRPr="005E4FCB" w:rsidRDefault="001F2324" w:rsidP="001F2324">
      <w:pPr>
        <w:pStyle w:val="a3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>ЦЕЛИ ЭМИССИИ</w:t>
      </w:r>
      <w:bookmarkEnd w:id="4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Описать цели эмиссии и планы по направлению использования полученных от размещения ценных бумаг денежных средств.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Указать источники исполнения обязательств по планируемому выпуску ценных бумаг.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bookmarkStart w:id="5" w:name="_Toc90479318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2. ОПИСАНИЕ ДЕЯТЕЛЬНОСТИ ЭМИТЕНТА</w:t>
      </w:r>
      <w:bookmarkEnd w:id="5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Указываются основные элементы стратегии: миссия и принципы стратегии, при наличии.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 xml:space="preserve">Описание основного направления деятельности эмитента, приоритетов и ключевых этапов развития, краткая история создания.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Конкурентные преимущества эмитента в отрасли, занимаемое место в сегменте(ах) бизнеса, география ведения бизнеса (схематично).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Приводится бизнес-модель эмитента. Указывается перечень предлагаемых товаров/услуг.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Указывается сегментация выручки в динамике прошлых периодов (за 3 года или с даты создания эмитента):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типам предоставления продукции/услуг;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типам потенциальных потребителей;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объему продаж;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географическому принципу.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Перечень основных заказчиков-потребителей продукции/услуг эмитента, основных контрагентов/поставщиков (с долей в структуре выручки).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6" w:name="_Toc90479319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3. СТРУКТУРА ВЛАДЕНИЯ  И КОРПОРАТИВНОЕ УПРАВЛЕНИЕ ЭМИТЕНТА</w:t>
      </w:r>
      <w:bookmarkEnd w:id="6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Приводится организационная структура компании: структура акционеров/участников (бенефициары и доля их прямого или косвенного владения в капитале эмитента; структура органов управления (совет директоров, коллегиальный исполнительный орган, при наличии, единоличный исполнительный орган).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Описание и схема группы/холдинга, в которую входит эмитент, подконтрольные и зависимые организации, имеющие существенное значение для принятия инвестиционных решений.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Структура взаимодействия с дочерними/подотчетными организациями.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 xml:space="preserve">Краткие сведения о руководстве: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3118"/>
      </w:tblGrid>
      <w:tr w:rsidR="001F2324" w:rsidRPr="003F19AA" w:rsidTr="00D62762">
        <w:tc>
          <w:tcPr>
            <w:tcW w:w="2235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F2324" w:rsidRPr="00D159CA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F2324" w:rsidRPr="00D159CA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1F2324" w:rsidRPr="00D159CA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 начала работы в компании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F2324" w:rsidRPr="00D159CA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Указание занимаемых должностей, наименований организаций (включая местоположение организаций) за последние 3 года</w:t>
            </w:r>
          </w:p>
        </w:tc>
      </w:tr>
      <w:tr w:rsidR="001F2324" w:rsidRPr="003F19AA" w:rsidTr="00D62762">
        <w:tc>
          <w:tcPr>
            <w:tcW w:w="2235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7" w:name="_Toc90479320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 СВЕДЕНИЯ О КРЕДИТНЫХ РЕЙТИНГАХ ЭМИТЕНТА/ВЫПУСКОВ ЦЕННЫХ БУМАГ</w:t>
      </w:r>
      <w:bookmarkEnd w:id="7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информация обо всех имеющихся кредитных рейтингах эмитента и (или) выпусков ценных бумаг с датой их присвоения.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8" w:name="_Toc90479321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 ДОЛГОВАЯ НАГРУЗКА ЭМИТЕНТА / СУДЕБНЫЕ СПОРЫ</w:t>
      </w:r>
      <w:bookmarkEnd w:id="8"/>
    </w:p>
    <w:p w:rsidR="001F2324" w:rsidRPr="005E4FCB" w:rsidRDefault="001F2324" w:rsidP="001F2324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Кредитная история эмитента: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9"/>
        <w:gridCol w:w="1599"/>
        <w:gridCol w:w="1934"/>
        <w:gridCol w:w="1127"/>
        <w:gridCol w:w="1400"/>
        <w:gridCol w:w="1211"/>
        <w:gridCol w:w="1504"/>
      </w:tblGrid>
      <w:tr w:rsidR="001F2324" w:rsidRPr="00D159CA" w:rsidTr="00D62762">
        <w:tc>
          <w:tcPr>
            <w:tcW w:w="1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 кредитора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Лимит задолженности в руб.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Задолженность по основному долгу, руб.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 выдачи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 погашения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Срок кредита, дней/лет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Ставка, %</w:t>
            </w:r>
          </w:p>
        </w:tc>
      </w:tr>
      <w:tr w:rsidR="001F2324" w:rsidRPr="00D159CA" w:rsidTr="00D62762">
        <w:tc>
          <w:tcPr>
            <w:tcW w:w="1539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F2324" w:rsidRPr="005E4FCB" w:rsidRDefault="001F2324" w:rsidP="001F2324">
      <w:pPr>
        <w:tabs>
          <w:tab w:val="left" w:pos="3668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Указывается список контрагентов в структуре кредиторской задолженности на конец года и на последнюю </w:t>
      </w:r>
      <w:r w:rsidRPr="005E4FCB">
        <w:rPr>
          <w:rFonts w:ascii="Arial" w:eastAsia="Times New Roman" w:hAnsi="Arial" w:cs="Arial"/>
          <w:sz w:val="20"/>
          <w:szCs w:val="20"/>
          <w:lang w:eastAsia="ru-RU"/>
        </w:rPr>
        <w:t>отчетную дату (с долей в структуре кредиторской задолженности):</w:t>
      </w:r>
      <w:r w:rsidRPr="005E4FC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91"/>
        <w:gridCol w:w="2453"/>
        <w:gridCol w:w="2874"/>
        <w:gridCol w:w="2696"/>
      </w:tblGrid>
      <w:tr w:rsidR="001F2324" w:rsidRPr="003F19AA" w:rsidTr="00D62762">
        <w:trPr>
          <w:trHeight w:val="793"/>
        </w:trPr>
        <w:tc>
          <w:tcPr>
            <w:tcW w:w="22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 кредитора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Сумма кредиторской задолженности, тыс. руб.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 возникновения задолженности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Доля в структуре кредиторской задолженности,%</w:t>
            </w:r>
          </w:p>
        </w:tc>
      </w:tr>
      <w:tr w:rsidR="001F2324" w:rsidRPr="003F19AA" w:rsidTr="00D62762">
        <w:trPr>
          <w:trHeight w:val="234"/>
        </w:trPr>
        <w:tc>
          <w:tcPr>
            <w:tcW w:w="2291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1F2324" w:rsidRPr="005E4FCB" w:rsidRDefault="001F2324" w:rsidP="001F2324">
      <w:pPr>
        <w:tabs>
          <w:tab w:val="left" w:pos="3668"/>
        </w:tabs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Указываются сведения о дебиторах эмитента: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91"/>
        <w:gridCol w:w="2453"/>
        <w:gridCol w:w="2874"/>
        <w:gridCol w:w="2696"/>
      </w:tblGrid>
      <w:tr w:rsidR="001F2324" w:rsidRPr="003F19AA" w:rsidTr="00D62762">
        <w:trPr>
          <w:trHeight w:val="793"/>
        </w:trPr>
        <w:tc>
          <w:tcPr>
            <w:tcW w:w="22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 дебитора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Сумма дебиторской задолженности, тыс. руб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 возникновения задолженности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F2324" w:rsidRPr="00D159CA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Доля в структуре дебиторской задолженности,%</w:t>
            </w:r>
          </w:p>
        </w:tc>
      </w:tr>
      <w:tr w:rsidR="001F2324" w:rsidRPr="003F19AA" w:rsidTr="00D62762">
        <w:trPr>
          <w:trHeight w:val="234"/>
        </w:trPr>
        <w:tc>
          <w:tcPr>
            <w:tcW w:w="2291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</w:tcBorders>
          </w:tcPr>
          <w:p w:rsidR="001F2324" w:rsidRPr="005E4FCB" w:rsidRDefault="001F2324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1F2324" w:rsidRPr="005E4FCB" w:rsidRDefault="001F2324" w:rsidP="001F2324">
      <w:pPr>
        <w:tabs>
          <w:tab w:val="left" w:pos="3668"/>
        </w:tabs>
        <w:ind w:right="-1"/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ind w:right="-1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>Указываются краткие сведения из определений решений судов различных инстанций (в случае их наличия) по судебным процессам, имеющим существенное значение для эмитента, где эмитент выступал истцом либо ответчиком с указанием номера, даты дела, сроков урегулирования спора.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9" w:name="_Toc90479322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 ОБЗОР ОТРАСЛИ И КОНКУРЕНТНЫЕ ПОЗИЦИИ ЭМИТЕНТА</w:t>
      </w:r>
      <w:bookmarkEnd w:id="9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описание основных тенденций отрасли/(-ей), в которой(-ых) функционирует бизнес компании. Указываются основные нормативно-регулирующие акты - положения, рекомендации, законы и пр., под воздействием которых рынок изменился либо планирует измениться.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Рекомендуется рассмотреть факторы внешний среды, которые могут оказать существенное влияние на бизнес эмитента. Провести анализ конкурентной среды, перечислив основных конкурентов по сегментам бизнеса либо отрасли эмитента, в целом. Провести дополнительный стратегический анализ по одной из методик (</w:t>
      </w:r>
      <w:r w:rsidRPr="005E4FCB">
        <w:rPr>
          <w:rFonts w:ascii="Arial" w:hAnsi="Arial" w:cs="Arial"/>
          <w:sz w:val="20"/>
          <w:szCs w:val="20"/>
        </w:rPr>
        <w:t>SWOT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-анализ, </w:t>
      </w:r>
      <w:r w:rsidRPr="005E4FCB">
        <w:rPr>
          <w:rFonts w:ascii="Arial" w:hAnsi="Arial" w:cs="Arial"/>
          <w:sz w:val="20"/>
          <w:szCs w:val="20"/>
        </w:rPr>
        <w:t>Porter</w:t>
      </w:r>
      <w:r w:rsidRPr="005E4FCB">
        <w:rPr>
          <w:rFonts w:ascii="Arial" w:hAnsi="Arial" w:cs="Arial"/>
          <w:sz w:val="20"/>
          <w:szCs w:val="20"/>
          <w:lang w:val="ru-RU"/>
        </w:rPr>
        <w:t>’</w:t>
      </w:r>
      <w:r w:rsidRPr="005E4FCB">
        <w:rPr>
          <w:rFonts w:ascii="Arial" w:hAnsi="Arial" w:cs="Arial"/>
          <w:sz w:val="20"/>
          <w:szCs w:val="20"/>
        </w:rPr>
        <w:t>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анализ либо анализ по усмотрению эмитента).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основу анализа включаются конкурентные преимущества стратегии эмитента.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0" w:name="_Toc90479323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 ТЕКУЩЕЕ ФИНАНСОВОЕ СОСТОЯНИЕ ЭМИТЕНТА</w:t>
      </w:r>
      <w:bookmarkEnd w:id="10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анализ финансово-хозяйственной деятельности и основных финансовых показателей эмитента с учетом отраслевых особенностей и ведения бухгалтерской (финансовой) отчетности на территории в соответствии с законодательством Российской Федерации.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 усмотрению эмитента может быть приведен анализ бухгалтерского баланса, включающий: общую оценку структуры активов и их источников, анализ ликвидности баланса, анализ платежеспособности, финансовой устойчивости (потенциальной вероятности банкротства). Анализ отчета о финансовых результатах может включать в себя: анализ динамики показателей деловой активности, анализ влияния различных факторов на прибыль, анализ рентабельности.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Анализ отчета об изменении капитала как оценка источников финансирования активов и их состав, динамика собственного капитала. Анализ отчета о движении денежных средств.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случае ведения компанией-эмитентом отчетности в соответствии с МСФО предлагается рассмотреть основные показатели следующих категорий: 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Activity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Receivables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Payables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Working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capital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Total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asset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and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etc</w:t>
      </w:r>
      <w:r w:rsidRPr="005E4FCB">
        <w:rPr>
          <w:rFonts w:ascii="Arial" w:hAnsi="Arial" w:cs="Arial"/>
          <w:sz w:val="20"/>
          <w:szCs w:val="20"/>
          <w:lang w:val="ru-RU"/>
        </w:rPr>
        <w:t>.) – индикаторы, показывающие насколько эффективно компания справляется с ежедневными задачами, управляет дебиторской задолженностью и запасами;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Liquidity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Current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Quick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>; С</w:t>
      </w:r>
      <w:r w:rsidRPr="005E4FCB">
        <w:rPr>
          <w:rFonts w:ascii="Arial" w:hAnsi="Arial" w:cs="Arial"/>
          <w:sz w:val="20"/>
          <w:szCs w:val="20"/>
        </w:rPr>
        <w:t>ash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and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etc</w:t>
      </w:r>
      <w:r w:rsidRPr="005E4FCB">
        <w:rPr>
          <w:rFonts w:ascii="Arial" w:hAnsi="Arial" w:cs="Arial"/>
          <w:sz w:val="20"/>
          <w:szCs w:val="20"/>
          <w:lang w:val="ru-RU"/>
        </w:rPr>
        <w:t>.) – способность эмитента контролировать краткосрочные обязательства;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Solvency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Debt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to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assets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Debt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to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capital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Financial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leverage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>) – способность эмитента контролировать долгосрочные обязательства, финансовый леверидж;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- Profitability Ratios (Operating profit margin; Net profit margin; Operating ROA; ROE; Return on total capital) – способность эмитента создавать прибыль из своих источников (активов компании).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Дополнительно может быть указана следующая информация: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Валовая прибыль, % от выручки; прибыль от продаж, % от выручки (прибыль до налогообложения); чистая прибыль, % от выручки по РСБУ;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- Gross margin, %; EBITDA margin,%; EBIT margin,%; Net income, % по МСФО.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>- Амортизация по РСБУ и МСФО, указать срок использования основных средств.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Подверженность компании валютным рискам (доля валютной выручки и себестоимости), при наличии.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Указывается адрес страницы в сети Интернет, где размещена бухгалтерская (финансовая) отчетность эмитента, на основе которой были рассчитаны приведенные показатели.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Показатели в динамике необходимо представить за последние 3 года деятельности эмитента (при наличии) и за текущий год (3мес., 6мес., 9мес.). Представить краткое обоснование темпов прироста показателей, методику расчетов.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 отсутствии финансовой отчетности у эмитента на момент подготовки инвестиционного меморандума, требования раздела 7 применяются к лицу, предоставившему обеспечение по облигациям (при наличии).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1" w:name="_Toc90479324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 СВЕДЕНИЯ О РАНЕЕ РАЗМЕЩЕННЫХ ВЫПУСКАХ</w:t>
      </w:r>
      <w:bookmarkEnd w:id="11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Указываются сведения о размещенных ранее выпусках, с указанием вида, категории (типа), серии для облигаций и иных идентификационных признаков ценных бумаг, с указанием информации об использовании привлеченных средств. Также приводится информация о выпусках ценных бумаг, погашенных в течение последних 3 лет (при наличии), фактах неисполнения обязательств по выплатам (при наличии).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2" w:name="_Toc90479325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9. СЦЕНАРИИ РАЗВИТИЯ ЭМИТЕНТА В СООТВЕТСТВИИ СО СТРАТЕГИЕЙ РАЗВИТИЯ / ФИНАНСОВАЯ МОДЕЛЬ / БИЗНЕС-ПЛАН</w:t>
      </w:r>
      <w:bookmarkEnd w:id="12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информация о будущем(-их) сценарии(-ях) развития бизнеса эмитента,  проанализированная как количественно, так и качественно. В соответствии с изложенной стратегией, рекомендуется подготовить финансовую модель или бизнес-план.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Комплексный бизнес-план, описывающий реализацию продукции/оказание услуг, целесообразно представлять с учетом конъюнктуры рынка, стратегии развития компании.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Финансовая модель эмитента может быть представлена одним из трех подходов: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Методом дисконтированных денежных потоков (</w:t>
      </w:r>
      <w:r w:rsidRPr="005E4FCB">
        <w:rPr>
          <w:rFonts w:ascii="Arial" w:hAnsi="Arial" w:cs="Arial"/>
          <w:sz w:val="20"/>
          <w:szCs w:val="20"/>
        </w:rPr>
        <w:t>discounted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cash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flow</w:t>
      </w:r>
      <w:r w:rsidRPr="005E4FCB">
        <w:rPr>
          <w:rFonts w:ascii="Arial" w:hAnsi="Arial" w:cs="Arial"/>
          <w:sz w:val="20"/>
          <w:szCs w:val="20"/>
          <w:lang w:val="ru-RU"/>
        </w:rPr>
        <w:t>);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- Сравнительная оценка (relative/multiple valuation – EV/EBITDA; EV/EBIT; P/E; EV/Sales);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>- Оценка условных требований (использование модели ценообразования опционов для измерения стоимости активов, имеющих характеристику опциона).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 подготовке финансовой модели рекомендуется применять показатели:</w:t>
      </w:r>
    </w:p>
    <w:p w:rsidR="001F2324" w:rsidRPr="005E4FCB" w:rsidRDefault="001F2324" w:rsidP="001F2324">
      <w:pPr>
        <w:pStyle w:val="a3"/>
        <w:numPr>
          <w:ilvl w:val="0"/>
          <w:numId w:val="2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свободного денежного потока компании (FCFF).</w:t>
      </w:r>
    </w:p>
    <w:p w:rsidR="001F2324" w:rsidRPr="005E4FCB" w:rsidRDefault="001F2324" w:rsidP="001F2324">
      <w:pPr>
        <w:tabs>
          <w:tab w:val="left" w:pos="3668"/>
        </w:tabs>
        <w:ind w:left="709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i/>
          <w:sz w:val="20"/>
          <w:szCs w:val="20"/>
          <w:lang w:val="ru-RU"/>
        </w:rPr>
        <w:t>Свободный денежный поток фирмы (</w:t>
      </w:r>
      <w:r w:rsidRPr="005E4FCB">
        <w:rPr>
          <w:rFonts w:ascii="Arial" w:hAnsi="Arial" w:cs="Arial"/>
          <w:i/>
          <w:sz w:val="20"/>
          <w:szCs w:val="20"/>
        </w:rPr>
        <w:t>Free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Cash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Flow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to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Firm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Pr="005E4FCB">
        <w:rPr>
          <w:rFonts w:ascii="Arial" w:hAnsi="Arial" w:cs="Arial"/>
          <w:i/>
          <w:sz w:val="20"/>
          <w:szCs w:val="20"/>
        </w:rPr>
        <w:t>FCFF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Pr="005E4FCB">
        <w:rPr>
          <w:rFonts w:ascii="Arial" w:hAnsi="Arial" w:cs="Arial"/>
          <w:i/>
          <w:sz w:val="20"/>
          <w:szCs w:val="20"/>
        </w:rPr>
        <w:t>FCF</w:t>
      </w:r>
      <w:r w:rsidRPr="005E4FCB">
        <w:rPr>
          <w:rFonts w:ascii="Arial" w:hAnsi="Arial" w:cs="Arial"/>
          <w:i/>
          <w:sz w:val="20"/>
          <w:szCs w:val="20"/>
          <w:lang w:val="ru-RU"/>
        </w:rPr>
        <w:t>) – денежный поток компании от ее операционной деятельности за исключением инвестиций в основной капитал.</w:t>
      </w:r>
    </w:p>
    <w:p w:rsidR="001F2324" w:rsidRPr="005E4FCB" w:rsidRDefault="001F2324" w:rsidP="001F2324">
      <w:pPr>
        <w:tabs>
          <w:tab w:val="left" w:pos="3668"/>
        </w:tabs>
        <w:ind w:left="709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i/>
          <w:sz w:val="20"/>
          <w:szCs w:val="20"/>
          <w:lang w:val="ru-RU"/>
        </w:rPr>
        <w:t>Данный вид денежного потока показывает остаток денежных средств у компании после вложения в капитальные активы - свободный денежный поток от активов.</w:t>
      </w:r>
    </w:p>
    <w:p w:rsidR="001F2324" w:rsidRPr="005E4FCB" w:rsidRDefault="001F2324" w:rsidP="001F2324">
      <w:pPr>
        <w:pStyle w:val="a3"/>
        <w:numPr>
          <w:ilvl w:val="0"/>
          <w:numId w:val="2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свободного денежного потока на собственный капитал (Free Cash Flow to Equity, FCFE) –  денежный поток компании от собственного капитала.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Свободный денежный поток предлагается привести с учетом факторов внутренней и внешней среды, комплексной экспертизы предпосылок и допущений, в соответствии со стратегией компании. Приводится информация о направлении, объеме реализации продукции/услуг и росте потенциальной выручки.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3" w:name="_Toc90479326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10. ИНВЕСТИЦИОННЫЕ РИСКИ</w:t>
      </w:r>
      <w:bookmarkEnd w:id="13"/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Приводятся основные риски с кратким описанием, способные повлиять на реализацию стратегии эмитента и приобретение его ценных бумаг, а также факторы риска, которые могут повлиять на исполнение обязательств по ценным бумагам.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 усмотрению эмитента к ним могут быть отнесены: отраслевые риски, риски рынка, финансовые риски, правовые риски, репутационные риски, иные риски. Может быть подготовлена карта рисков и способы управления ими (лимитирование, избегание, диверсификация, хеджирование и т.д.). Политика эмитента в области управления рисками.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процессе подготовки могут быть использованы основные международные стандарты управления рисками:</w:t>
      </w:r>
    </w:p>
    <w:p w:rsidR="001F2324" w:rsidRPr="005E4FCB" w:rsidRDefault="001F2324" w:rsidP="001F2324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ISO/IEC 31010:2019 - Риск-менеджмент. Руководство по оценке рисков;</w:t>
      </w:r>
    </w:p>
    <w:p w:rsidR="001F2324" w:rsidRPr="005E4FCB" w:rsidRDefault="001F2324" w:rsidP="001F2324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ISO 31000:2019 - Риск-менеджмент. Принципы и рекомендации;</w:t>
      </w:r>
    </w:p>
    <w:p w:rsidR="001F2324" w:rsidRPr="005E4FCB" w:rsidRDefault="001F2324" w:rsidP="001F2324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en-US"/>
        </w:rPr>
        <w:t xml:space="preserve">COSO II ERM - Integrated Framework. </w:t>
      </w:r>
      <w:r w:rsidRPr="005E4FCB">
        <w:rPr>
          <w:rFonts w:ascii="Arial" w:hAnsi="Arial" w:cs="Arial"/>
          <w:sz w:val="20"/>
          <w:szCs w:val="20"/>
        </w:rPr>
        <w:t>Интегрированная модель управления рисками организации (2004). Руководство по управлению рисками. Применение концепции COSO ERM (2020).</w:t>
      </w:r>
    </w:p>
    <w:p w:rsidR="001F2324" w:rsidRPr="005E4FCB" w:rsidRDefault="001F2324" w:rsidP="001F2324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4" w:name="_Toc90479327"/>
    </w:p>
    <w:p w:rsidR="00D63C49" w:rsidRPr="001F2324" w:rsidRDefault="001F2324" w:rsidP="001F2324">
      <w:pPr>
        <w:tabs>
          <w:tab w:val="left" w:pos="3668"/>
        </w:tabs>
        <w:jc w:val="both"/>
        <w:rPr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11. ДОПОЛНИТЕЛЬНАЯ ИНФОРМАЦИЯ (УКАЗЫВАЕТСЯ ПО УСМОТРЕНИЮ ЭМИТЕНТА)</w:t>
      </w:r>
      <w:bookmarkEnd w:id="14"/>
    </w:p>
    <w:sectPr w:rsidR="00D63C49" w:rsidRPr="001F2324" w:rsidSect="001F2324">
      <w:footerReference w:type="default" r:id="rId9"/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A0" w:rsidRDefault="00C57EA0" w:rsidP="006D4428">
      <w:pPr>
        <w:spacing w:line="240" w:lineRule="auto"/>
      </w:pPr>
      <w:r>
        <w:separator/>
      </w:r>
    </w:p>
  </w:endnote>
  <w:endnote w:type="continuationSeparator" w:id="0">
    <w:p w:rsidR="00C57EA0" w:rsidRDefault="00C57EA0" w:rsidP="006D4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5326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B11BCF" w:rsidRPr="005813C4" w:rsidRDefault="00B11BCF">
        <w:pPr>
          <w:pStyle w:val="ab"/>
          <w:jc w:val="right"/>
          <w:rPr>
            <w:rFonts w:ascii="Arial" w:hAnsi="Arial" w:cs="Arial"/>
            <w:sz w:val="18"/>
          </w:rPr>
        </w:pPr>
        <w:r w:rsidRPr="005813C4">
          <w:rPr>
            <w:rFonts w:ascii="Arial" w:hAnsi="Arial" w:cs="Arial"/>
            <w:sz w:val="18"/>
          </w:rPr>
          <w:fldChar w:fldCharType="begin"/>
        </w:r>
        <w:r w:rsidRPr="005813C4">
          <w:rPr>
            <w:rFonts w:ascii="Arial" w:hAnsi="Arial" w:cs="Arial"/>
            <w:sz w:val="18"/>
          </w:rPr>
          <w:instrText>PAGE   \* MERGEFORMAT</w:instrText>
        </w:r>
        <w:r w:rsidRPr="005813C4">
          <w:rPr>
            <w:rFonts w:ascii="Arial" w:hAnsi="Arial" w:cs="Arial"/>
            <w:sz w:val="18"/>
          </w:rPr>
          <w:fldChar w:fldCharType="separate"/>
        </w:r>
        <w:r w:rsidR="001F2324" w:rsidRPr="001F2324">
          <w:rPr>
            <w:rFonts w:ascii="Arial" w:hAnsi="Arial" w:cs="Arial"/>
            <w:noProof/>
            <w:sz w:val="18"/>
            <w:lang w:val="ru-RU"/>
          </w:rPr>
          <w:t>3</w:t>
        </w:r>
        <w:r w:rsidRPr="005813C4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A0" w:rsidRDefault="00C57EA0" w:rsidP="006D4428">
      <w:pPr>
        <w:spacing w:line="240" w:lineRule="auto"/>
      </w:pPr>
      <w:r>
        <w:separator/>
      </w:r>
    </w:p>
  </w:footnote>
  <w:footnote w:type="continuationSeparator" w:id="0">
    <w:p w:rsidR="00C57EA0" w:rsidRDefault="00C57EA0" w:rsidP="006D4428">
      <w:pPr>
        <w:spacing w:line="240" w:lineRule="auto"/>
      </w:pPr>
      <w:r>
        <w:continuationSeparator/>
      </w:r>
    </w:p>
  </w:footnote>
  <w:footnote w:id="1">
    <w:p w:rsidR="001F2324" w:rsidRPr="004651FF" w:rsidRDefault="001F2324" w:rsidP="001F2324">
      <w:pPr>
        <w:pStyle w:val="a6"/>
        <w:jc w:val="both"/>
        <w:rPr>
          <w:rFonts w:ascii="Arial" w:hAnsi="Arial" w:cs="Arial"/>
        </w:rPr>
      </w:pPr>
      <w:r>
        <w:rPr>
          <w:rStyle w:val="a5"/>
          <w:rFonts w:eastAsiaTheme="majorEastAsia"/>
        </w:rPr>
        <w:footnoteRef/>
      </w:r>
      <w:r>
        <w:t xml:space="preserve"> </w:t>
      </w:r>
      <w:r w:rsidRPr="004651FF">
        <w:rPr>
          <w:rFonts w:ascii="Arial" w:hAnsi="Arial" w:cs="Arial"/>
          <w:sz w:val="18"/>
          <w:szCs w:val="18"/>
        </w:rPr>
        <w:t>Должность уполномоченного представителя эмитента указывается при ее наличии.</w:t>
      </w:r>
    </w:p>
  </w:footnote>
  <w:footnote w:id="2">
    <w:p w:rsidR="001F2324" w:rsidRDefault="001F2324" w:rsidP="001F2324">
      <w:pPr>
        <w:pStyle w:val="a6"/>
        <w:tabs>
          <w:tab w:val="left" w:pos="284"/>
        </w:tabs>
        <w:jc w:val="both"/>
        <w:rPr>
          <w:sz w:val="18"/>
          <w:szCs w:val="18"/>
        </w:rPr>
      </w:pPr>
      <w:r w:rsidRPr="004651FF">
        <w:rPr>
          <w:rStyle w:val="a5"/>
          <w:rFonts w:ascii="Arial" w:eastAsiaTheme="majorEastAsia" w:hAnsi="Arial" w:cs="Arial"/>
          <w:sz w:val="18"/>
          <w:szCs w:val="18"/>
        </w:rPr>
        <w:footnoteRef/>
      </w:r>
      <w:r w:rsidRPr="004651FF">
        <w:rPr>
          <w:rFonts w:ascii="Arial" w:hAnsi="Arial" w:cs="Arial"/>
          <w:sz w:val="18"/>
          <w:szCs w:val="18"/>
        </w:rPr>
        <w:t xml:space="preserve"> Указание на лицо, предоставляюще</w:t>
      </w:r>
      <w:r>
        <w:rPr>
          <w:rFonts w:ascii="Arial" w:hAnsi="Arial" w:cs="Arial"/>
          <w:sz w:val="18"/>
          <w:szCs w:val="18"/>
        </w:rPr>
        <w:t>е</w:t>
      </w:r>
      <w:r w:rsidRPr="004651FF">
        <w:rPr>
          <w:rFonts w:ascii="Arial" w:hAnsi="Arial" w:cs="Arial"/>
          <w:sz w:val="18"/>
          <w:szCs w:val="18"/>
        </w:rPr>
        <w:t xml:space="preserve"> обеспечение по облигациям, приводится в случае наличия </w:t>
      </w:r>
      <w:r>
        <w:rPr>
          <w:rFonts w:ascii="Arial" w:hAnsi="Arial" w:cs="Arial"/>
          <w:sz w:val="18"/>
          <w:szCs w:val="18"/>
        </w:rPr>
        <w:t>тако</w:t>
      </w:r>
      <w:r w:rsidRPr="004651FF">
        <w:rPr>
          <w:rFonts w:ascii="Arial" w:hAnsi="Arial" w:cs="Arial"/>
          <w:sz w:val="18"/>
          <w:szCs w:val="18"/>
        </w:rPr>
        <w:t>го лица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1F2324" w:rsidRPr="006C21A4" w:rsidRDefault="001F2324" w:rsidP="001F2324">
      <w:pPr>
        <w:tabs>
          <w:tab w:val="left" w:pos="3668"/>
        </w:tabs>
        <w:spacing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Style w:val="a5"/>
        </w:rPr>
        <w:footnoteRef/>
      </w:r>
      <w:r w:rsidRPr="006C21A4">
        <w:rPr>
          <w:lang w:val="ru-RU"/>
        </w:rPr>
        <w:t xml:space="preserve"> </w:t>
      </w:r>
      <w:r w:rsidRPr="006C21A4">
        <w:rPr>
          <w:rFonts w:ascii="Arial" w:eastAsia="Times New Roman" w:hAnsi="Arial" w:cs="Arial"/>
          <w:sz w:val="18"/>
          <w:szCs w:val="18"/>
          <w:lang w:val="ru-RU"/>
        </w:rPr>
        <w:t>ПАО «СПБ Биржа» рекомендует эмитенту самостоятельно определять объем и формат раскрытия информации, достаточны</w:t>
      </w:r>
      <w:r>
        <w:rPr>
          <w:rFonts w:ascii="Arial" w:eastAsia="Times New Roman" w:hAnsi="Arial" w:cs="Arial"/>
          <w:sz w:val="18"/>
          <w:szCs w:val="18"/>
          <w:lang w:val="ru-RU"/>
        </w:rPr>
        <w:t>е</w:t>
      </w:r>
      <w:r w:rsidRPr="006C21A4">
        <w:rPr>
          <w:rFonts w:ascii="Arial" w:eastAsia="Times New Roman" w:hAnsi="Arial" w:cs="Arial"/>
          <w:sz w:val="18"/>
          <w:szCs w:val="18"/>
          <w:lang w:val="ru-RU"/>
        </w:rPr>
        <w:t xml:space="preserve"> по его усмотрению для принятия инвестиционных решений, в зависимости от отраслевых особенностей и масштабов бизнеса. Инвестиционный меморандум должен быть изложен языком, понятным для лиц, не являющихся квалифицированными инвесторами либо профессиональными участниками рынка ценных бумаг. </w:t>
      </w:r>
    </w:p>
    <w:p w:rsidR="001F2324" w:rsidRPr="00275AA7" w:rsidRDefault="001F2324" w:rsidP="001F2324">
      <w:pPr>
        <w:pStyle w:val="a6"/>
        <w:jc w:val="both"/>
        <w:rPr>
          <w:rFonts w:ascii="Arial" w:hAnsi="Arial" w:cs="Arial"/>
          <w:sz w:val="18"/>
          <w:szCs w:val="18"/>
        </w:rPr>
      </w:pPr>
      <w:r w:rsidRPr="00275AA7">
        <w:rPr>
          <w:rFonts w:ascii="Arial" w:hAnsi="Arial" w:cs="Arial"/>
          <w:sz w:val="18"/>
          <w:szCs w:val="18"/>
        </w:rPr>
        <w:t>В случае</w:t>
      </w:r>
      <w:r>
        <w:rPr>
          <w:rFonts w:ascii="Arial" w:hAnsi="Arial" w:cs="Arial"/>
          <w:sz w:val="18"/>
          <w:szCs w:val="18"/>
        </w:rPr>
        <w:t>,</w:t>
      </w:r>
      <w:r w:rsidRPr="00275AA7">
        <w:rPr>
          <w:rFonts w:ascii="Arial" w:hAnsi="Arial" w:cs="Arial"/>
          <w:sz w:val="18"/>
          <w:szCs w:val="18"/>
        </w:rPr>
        <w:t xml:space="preserve"> если эмитент не готов представить информацию по указанным разделам настоящего инвестиционного меморандума в соответствии с принципами полноты раскрытия информации, достоверности/прозрачности, необходимо указать причины.</w:t>
      </w:r>
    </w:p>
  </w:footnote>
  <w:footnote w:id="4">
    <w:p w:rsidR="001F2324" w:rsidRPr="00841421" w:rsidRDefault="001F2324" w:rsidP="001F2324">
      <w:pPr>
        <w:pStyle w:val="a6"/>
        <w:jc w:val="both"/>
        <w:rPr>
          <w:sz w:val="18"/>
          <w:szCs w:val="18"/>
        </w:rPr>
      </w:pPr>
      <w:r>
        <w:rPr>
          <w:rStyle w:val="a5"/>
          <w:rFonts w:eastAsiaTheme="majorEastAsia"/>
        </w:rPr>
        <w:footnoteRef/>
      </w:r>
      <w:r>
        <w:t xml:space="preserve"> </w:t>
      </w:r>
      <w:r w:rsidRPr="00732398">
        <w:rPr>
          <w:rFonts w:ascii="Arial" w:hAnsi="Arial" w:cs="Arial"/>
          <w:sz w:val="18"/>
          <w:szCs w:val="18"/>
        </w:rPr>
        <w:t>вместо требуемой информации эмитентом может быть приведена ссылка на страницу в сети Интернет, на которой размещен текст решения о выпуске ценных бумаг (программы облигаций/ документа, содержащего условия размещения ценных бумаг) со всеми изменениями к таким документам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CCE"/>
    <w:multiLevelType w:val="hybridMultilevel"/>
    <w:tmpl w:val="2C9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6D2"/>
    <w:multiLevelType w:val="hybridMultilevel"/>
    <w:tmpl w:val="CD001AAE"/>
    <w:lvl w:ilvl="0" w:tplc="7F72AF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5D14"/>
    <w:multiLevelType w:val="multilevel"/>
    <w:tmpl w:val="0DEA3D8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320A43"/>
    <w:multiLevelType w:val="multilevel"/>
    <w:tmpl w:val="085ACB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AB"/>
    <w:rsid w:val="001F2324"/>
    <w:rsid w:val="002647AC"/>
    <w:rsid w:val="004611AB"/>
    <w:rsid w:val="005813C4"/>
    <w:rsid w:val="006D4428"/>
    <w:rsid w:val="00B11BCF"/>
    <w:rsid w:val="00C57EA0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42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D442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42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6D44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footnote reference"/>
    <w:rsid w:val="006D4428"/>
    <w:rPr>
      <w:vertAlign w:val="superscript"/>
    </w:rPr>
  </w:style>
  <w:style w:type="paragraph" w:styleId="a6">
    <w:name w:val="footnote text"/>
    <w:basedOn w:val="a"/>
    <w:link w:val="a7"/>
    <w:rsid w:val="006D4428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6D44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D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6D4428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6D4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D4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1BC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BCF"/>
    <w:rPr>
      <w:rFonts w:ascii="Bell MT" w:eastAsia="MS PMincho" w:hAnsi="Bell MT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B11B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BCF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42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D442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42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6D44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footnote reference"/>
    <w:rsid w:val="006D4428"/>
    <w:rPr>
      <w:vertAlign w:val="superscript"/>
    </w:rPr>
  </w:style>
  <w:style w:type="paragraph" w:styleId="a6">
    <w:name w:val="footnote text"/>
    <w:basedOn w:val="a"/>
    <w:link w:val="a7"/>
    <w:rsid w:val="006D4428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6D44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D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6D4428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6D4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D4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1BC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1BCF"/>
    <w:rPr>
      <w:rFonts w:ascii="Bell MT" w:eastAsia="MS PMincho" w:hAnsi="Bell MT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B11B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BCF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2023-04-19T14:29:00Z</dcterms:created>
  <dcterms:modified xsi:type="dcterms:W3CDTF">2023-04-19T14:29:00Z</dcterms:modified>
</cp:coreProperties>
</file>