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A2" w:rsidRPr="007827BC" w:rsidRDefault="001544A2" w:rsidP="001544A2">
      <w:pPr>
        <w:jc w:val="center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7A745CED" wp14:editId="5D1DE117">
            <wp:simplePos x="0" y="0"/>
            <wp:positionH relativeFrom="column">
              <wp:posOffset>-53975</wp:posOffset>
            </wp:positionH>
            <wp:positionV relativeFrom="paragraph">
              <wp:posOffset>142875</wp:posOffset>
            </wp:positionV>
            <wp:extent cx="1752600" cy="2476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4A2" w:rsidRPr="007827BC" w:rsidRDefault="001544A2" w:rsidP="001544A2">
      <w:pPr>
        <w:ind w:left="7080" w:firstLine="708"/>
        <w:jc w:val="center"/>
        <w:rPr>
          <w:rFonts w:ascii="Arial" w:hAnsi="Arial" w:cs="Arial"/>
          <w:lang w:val="ru-RU"/>
        </w:rPr>
      </w:pPr>
      <w:r w:rsidRPr="001544A2">
        <w:rPr>
          <w:rFonts w:ascii="Arial" w:hAnsi="Arial" w:cs="Arial"/>
          <w:sz w:val="20"/>
          <w:szCs w:val="20"/>
          <w:lang w:val="ru-RU"/>
        </w:rPr>
        <w:t>[Логотип эмитента]</w:t>
      </w:r>
    </w:p>
    <w:p w:rsidR="001544A2" w:rsidRPr="007827BC" w:rsidRDefault="001544A2" w:rsidP="001544A2">
      <w:pPr>
        <w:jc w:val="center"/>
        <w:rPr>
          <w:rFonts w:ascii="Arial" w:hAnsi="Arial" w:cs="Arial"/>
          <w:lang w:val="ru-RU"/>
        </w:rPr>
      </w:pPr>
      <w:bookmarkStart w:id="0" w:name="_GoBack"/>
      <w:bookmarkEnd w:id="0"/>
    </w:p>
    <w:p w:rsidR="001544A2" w:rsidRPr="007827BC" w:rsidRDefault="001544A2" w:rsidP="001544A2">
      <w:pPr>
        <w:jc w:val="center"/>
        <w:rPr>
          <w:rFonts w:ascii="Arial" w:hAnsi="Arial" w:cs="Arial"/>
          <w:lang w:val="ru-RU"/>
        </w:rPr>
      </w:pPr>
    </w:p>
    <w:p w:rsidR="00E36D7A" w:rsidRPr="005E4FCB" w:rsidRDefault="00E36D7A" w:rsidP="00E36D7A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E36D7A" w:rsidRPr="005E4FCB" w:rsidRDefault="00E36D7A" w:rsidP="00E36D7A">
      <w:pPr>
        <w:tabs>
          <w:tab w:val="center" w:pos="5102"/>
          <w:tab w:val="left" w:pos="9210"/>
          <w:tab w:val="right" w:pos="10205"/>
        </w:tabs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ab/>
        <w:t>ОТЧЕТ ЭМИТЕНТА ОБЛИГАЦИЙ ЗА _______год</w:t>
      </w:r>
      <w:r w:rsidRPr="005E4FCB">
        <w:rPr>
          <w:rFonts w:ascii="Arial" w:hAnsi="Arial" w:cs="Arial"/>
          <w:b/>
          <w:sz w:val="20"/>
          <w:szCs w:val="20"/>
          <w:lang w:val="ru-RU"/>
        </w:rPr>
        <w:tab/>
      </w:r>
      <w:r w:rsidRPr="005E4FCB">
        <w:rPr>
          <w:rFonts w:ascii="Arial" w:hAnsi="Arial" w:cs="Arial"/>
          <w:b/>
          <w:sz w:val="20"/>
          <w:szCs w:val="20"/>
          <w:lang w:val="ru-RU"/>
        </w:rPr>
        <w:tab/>
      </w:r>
    </w:p>
    <w:p w:rsidR="00E36D7A" w:rsidRPr="005E4FCB" w:rsidRDefault="00E36D7A" w:rsidP="00E36D7A">
      <w:pPr>
        <w:tabs>
          <w:tab w:val="left" w:pos="3668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E36D7A" w:rsidRPr="005E4FCB" w:rsidRDefault="00E36D7A" w:rsidP="00E36D7A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«___» ___________ 20__</w:t>
      </w:r>
      <w:r w:rsidRPr="005E4FCB">
        <w:rPr>
          <w:rFonts w:ascii="Arial" w:hAnsi="Arial" w:cs="Arial"/>
          <w:sz w:val="20"/>
          <w:szCs w:val="20"/>
        </w:rPr>
        <w:t> </w:t>
      </w:r>
      <w:r w:rsidRPr="005E4FCB">
        <w:rPr>
          <w:rFonts w:ascii="Arial" w:hAnsi="Arial" w:cs="Arial"/>
          <w:sz w:val="20"/>
          <w:szCs w:val="20"/>
          <w:lang w:val="ru-RU"/>
        </w:rPr>
        <w:t>г.</w:t>
      </w:r>
    </w:p>
    <w:p w:rsidR="00E36D7A" w:rsidRPr="005E4FCB" w:rsidRDefault="00E36D7A" w:rsidP="00E36D7A">
      <w:pPr>
        <w:tabs>
          <w:tab w:val="left" w:pos="3668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E36D7A" w:rsidRPr="005E4FCB" w:rsidRDefault="00E36D7A" w:rsidP="00E36D7A">
      <w:pPr>
        <w:tabs>
          <w:tab w:val="left" w:pos="3668"/>
        </w:tabs>
        <w:jc w:val="center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_______________________________________________________________________________</w:t>
      </w:r>
    </w:p>
    <w:p w:rsidR="00E36D7A" w:rsidRPr="005E4FCB" w:rsidRDefault="00E36D7A" w:rsidP="00E36D7A">
      <w:pPr>
        <w:tabs>
          <w:tab w:val="left" w:pos="3668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[полное фирменное наименование эмитента ценных бумаг]</w:t>
      </w:r>
    </w:p>
    <w:p w:rsidR="00E36D7A" w:rsidRPr="005E4FCB" w:rsidRDefault="00E36D7A" w:rsidP="00E36D7A">
      <w:pPr>
        <w:tabs>
          <w:tab w:val="left" w:pos="3668"/>
        </w:tabs>
        <w:jc w:val="center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FB601" wp14:editId="4A561429">
                <wp:simplePos x="0" y="0"/>
                <wp:positionH relativeFrom="column">
                  <wp:posOffset>24130</wp:posOffset>
                </wp:positionH>
                <wp:positionV relativeFrom="paragraph">
                  <wp:posOffset>167640</wp:posOffset>
                </wp:positionV>
                <wp:extent cx="6368415" cy="0"/>
                <wp:effectExtent l="0" t="0" r="1333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826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9pt,13.2pt" to="503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" strokecolor="#ff8261" strokeweight="1.5pt"/>
            </w:pict>
          </mc:Fallback>
        </mc:AlternateContent>
      </w:r>
    </w:p>
    <w:p w:rsidR="00E36D7A" w:rsidRPr="005E4FCB" w:rsidRDefault="00E36D7A" w:rsidP="00E36D7A">
      <w:pPr>
        <w:tabs>
          <w:tab w:val="left" w:pos="3668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[указываются вид, категория (тип), серия и иные идентификационные признаки ценных бумаг, способ размещения]</w:t>
      </w:r>
    </w:p>
    <w:p w:rsidR="00E36D7A" w:rsidRPr="005E4FCB" w:rsidRDefault="00E36D7A" w:rsidP="00E36D7A">
      <w:pPr>
        <w:tabs>
          <w:tab w:val="left" w:pos="3668"/>
        </w:tabs>
        <w:jc w:val="center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E7772" wp14:editId="3F1927B5">
                <wp:simplePos x="0" y="0"/>
                <wp:positionH relativeFrom="column">
                  <wp:posOffset>27674</wp:posOffset>
                </wp:positionH>
                <wp:positionV relativeFrom="paragraph">
                  <wp:posOffset>128699</wp:posOffset>
                </wp:positionV>
                <wp:extent cx="6368902" cy="0"/>
                <wp:effectExtent l="0" t="0" r="1333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90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826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2pt,10.15pt" to="503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" strokecolor="#ff8261" strokeweight="1.5pt"/>
            </w:pict>
          </mc:Fallback>
        </mc:AlternateContent>
      </w:r>
    </w:p>
    <w:p w:rsidR="00E36D7A" w:rsidRPr="005E4FCB" w:rsidRDefault="00E36D7A" w:rsidP="00E36D7A">
      <w:pPr>
        <w:tabs>
          <w:tab w:val="left" w:pos="3668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В отношении указанных ценных бумаг не осуществлена регистрация проспекта ценных бумаг.</w:t>
      </w:r>
    </w:p>
    <w:p w:rsidR="00E36D7A" w:rsidRPr="005E4FCB" w:rsidRDefault="00E36D7A" w:rsidP="00E36D7A">
      <w:pPr>
        <w:tabs>
          <w:tab w:val="left" w:pos="3668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Информация, содержащаяся в настоящем отчете эмитента, подлежит раскрытию в соответствии с требованиями Правил листинга </w:t>
      </w:r>
      <w:r w:rsidRPr="005E4FCB">
        <w:rPr>
          <w:rFonts w:ascii="Arial" w:hAnsi="Arial" w:cs="Arial"/>
          <w:bCs/>
          <w:sz w:val="20"/>
          <w:szCs w:val="20"/>
          <w:lang w:val="ru-RU"/>
        </w:rPr>
        <w:t>(</w:t>
      </w:r>
      <w:proofErr w:type="spellStart"/>
      <w:r w:rsidRPr="005E4FCB">
        <w:rPr>
          <w:rFonts w:ascii="Arial" w:hAnsi="Arial" w:cs="Arial"/>
          <w:bCs/>
          <w:sz w:val="20"/>
          <w:szCs w:val="20"/>
          <w:lang w:val="ru-RU"/>
        </w:rPr>
        <w:t>делистинга</w:t>
      </w:r>
      <w:proofErr w:type="spellEnd"/>
      <w:r w:rsidRPr="005E4FCB">
        <w:rPr>
          <w:rFonts w:ascii="Arial" w:hAnsi="Arial" w:cs="Arial"/>
          <w:bCs/>
          <w:sz w:val="20"/>
          <w:szCs w:val="20"/>
          <w:lang w:val="ru-RU"/>
        </w:rPr>
        <w:t xml:space="preserve">) ценных бумаг </w:t>
      </w:r>
      <w:r w:rsidRPr="005E4FCB">
        <w:rPr>
          <w:rFonts w:ascii="Arial" w:hAnsi="Arial" w:cs="Arial"/>
          <w:sz w:val="20"/>
          <w:szCs w:val="20"/>
          <w:lang w:val="ru-RU"/>
        </w:rPr>
        <w:t>к раскрытию информации эмитентами, ценные бумаги которых допущены к организованным торгам без их включения в котировальные списки и без регистрации проспекта ценных бумаг.</w:t>
      </w:r>
    </w:p>
    <w:p w:rsidR="00E36D7A" w:rsidRPr="005E4FCB" w:rsidRDefault="00E36D7A" w:rsidP="00E36D7A">
      <w:pPr>
        <w:tabs>
          <w:tab w:val="left" w:pos="366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10150" w:type="dxa"/>
        <w:jc w:val="center"/>
        <w:tblBorders>
          <w:top w:val="double" w:sz="4" w:space="0" w:color="FF8261"/>
          <w:left w:val="double" w:sz="4" w:space="0" w:color="FF8261"/>
          <w:bottom w:val="double" w:sz="4" w:space="0" w:color="FF8261"/>
          <w:right w:val="double" w:sz="4" w:space="0" w:color="FF826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6"/>
        <w:gridCol w:w="288"/>
        <w:gridCol w:w="1416"/>
        <w:gridCol w:w="138"/>
        <w:gridCol w:w="1988"/>
        <w:gridCol w:w="564"/>
      </w:tblGrid>
      <w:tr w:rsidR="00E36D7A" w:rsidRPr="0052576C" w:rsidTr="00D62762">
        <w:trPr>
          <w:cantSplit/>
          <w:trHeight w:hRule="exact" w:val="1249"/>
          <w:jc w:val="center"/>
        </w:trPr>
        <w:tc>
          <w:tcPr>
            <w:tcW w:w="5756" w:type="dxa"/>
            <w:shd w:val="clear" w:color="auto" w:fill="auto"/>
            <w:vAlign w:val="bottom"/>
          </w:tcPr>
          <w:p w:rsidR="00E36D7A" w:rsidRPr="005E4FCB" w:rsidRDefault="00E36D7A" w:rsidP="00D62762">
            <w:pPr>
              <w:shd w:val="clear" w:color="auto" w:fill="FFFFFF"/>
              <w:tabs>
                <w:tab w:val="left" w:pos="3668"/>
              </w:tabs>
              <w:autoSpaceDE w:val="0"/>
              <w:autoSpaceDN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E4FCB">
              <w:rPr>
                <w:rFonts w:ascii="Arial" w:hAnsi="Arial" w:cs="Arial"/>
                <w:b/>
                <w:sz w:val="20"/>
                <w:szCs w:val="20"/>
                <w:lang w:val="ru-RU"/>
              </w:rPr>
              <w:t>[</w:t>
            </w:r>
            <w:r w:rsidRPr="005E4FCB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Наименование </w:t>
            </w:r>
            <w:proofErr w:type="gramStart"/>
            <w:r w:rsidRPr="005E4FCB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должности руководителя эмитента/уполномоченного представителя эмитента</w:t>
            </w:r>
            <w:proofErr w:type="gramEnd"/>
            <w:r w:rsidRPr="005E4FCB">
              <w:rPr>
                <w:rFonts w:ascii="Arial" w:hAnsi="Arial" w:cs="Arial"/>
                <w:b/>
                <w:sz w:val="20"/>
                <w:szCs w:val="20"/>
                <w:lang w:val="ru-RU"/>
              </w:rPr>
              <w:t>]</w:t>
            </w:r>
            <w:r w:rsidRPr="005E4FCB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5E4FCB">
              <w:rPr>
                <w:rStyle w:val="a5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288" w:type="dxa"/>
            <w:shd w:val="clear" w:color="auto" w:fill="auto"/>
            <w:vAlign w:val="bottom"/>
          </w:tcPr>
          <w:p w:rsidR="00E36D7A" w:rsidRPr="005E4FCB" w:rsidRDefault="00E36D7A" w:rsidP="00D62762">
            <w:pPr>
              <w:tabs>
                <w:tab w:val="left" w:pos="3668"/>
              </w:tabs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:rsidR="00E36D7A" w:rsidRPr="005E4FCB" w:rsidRDefault="00E36D7A" w:rsidP="00D62762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38" w:type="dxa"/>
            <w:shd w:val="clear" w:color="auto" w:fill="auto"/>
            <w:vAlign w:val="bottom"/>
          </w:tcPr>
          <w:p w:rsidR="00E36D7A" w:rsidRPr="005E4FCB" w:rsidRDefault="00E36D7A" w:rsidP="00D62762">
            <w:pPr>
              <w:tabs>
                <w:tab w:val="left" w:pos="3668"/>
              </w:tabs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88" w:type="dxa"/>
            <w:shd w:val="clear" w:color="auto" w:fill="auto"/>
            <w:vAlign w:val="bottom"/>
            <w:hideMark/>
          </w:tcPr>
          <w:p w:rsidR="00E36D7A" w:rsidRPr="005E4FCB" w:rsidRDefault="00E36D7A" w:rsidP="00D62762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5E4FC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_______________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E36D7A" w:rsidRPr="005E4FCB" w:rsidRDefault="00E36D7A" w:rsidP="00D62762">
            <w:pPr>
              <w:tabs>
                <w:tab w:val="left" w:pos="3668"/>
              </w:tabs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6D7A" w:rsidRPr="0052576C" w:rsidTr="00D62762">
        <w:trPr>
          <w:cantSplit/>
          <w:jc w:val="center"/>
        </w:trPr>
        <w:tc>
          <w:tcPr>
            <w:tcW w:w="5756" w:type="dxa"/>
            <w:shd w:val="clear" w:color="auto" w:fill="auto"/>
            <w:vAlign w:val="bottom"/>
          </w:tcPr>
          <w:p w:rsidR="00E36D7A" w:rsidRPr="005E4FCB" w:rsidRDefault="00E36D7A" w:rsidP="00D62762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6D7A" w:rsidRPr="005E4FCB" w:rsidRDefault="00E36D7A" w:rsidP="00D62762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:rsidR="00E36D7A" w:rsidRPr="005E4FCB" w:rsidRDefault="00E36D7A" w:rsidP="00D62762">
            <w:pPr>
              <w:tabs>
                <w:tab w:val="left" w:pos="3668"/>
              </w:tabs>
              <w:autoSpaceDE w:val="0"/>
              <w:autoSpaceDN w:val="0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E36D7A" w:rsidRPr="005E4FCB" w:rsidRDefault="00E36D7A" w:rsidP="00D62762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4FC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E4FCB">
              <w:rPr>
                <w:rFonts w:ascii="Arial" w:hAnsi="Arial" w:cs="Arial"/>
                <w:sz w:val="20"/>
                <w:szCs w:val="20"/>
              </w:rPr>
              <w:t>подпись</w:t>
            </w:r>
            <w:proofErr w:type="spellEnd"/>
            <w:r w:rsidRPr="005E4F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8" w:type="dxa"/>
            <w:shd w:val="clear" w:color="auto" w:fill="auto"/>
          </w:tcPr>
          <w:p w:rsidR="00E36D7A" w:rsidRPr="005E4FCB" w:rsidRDefault="00E36D7A" w:rsidP="00D62762">
            <w:pPr>
              <w:tabs>
                <w:tab w:val="left" w:pos="3668"/>
              </w:tabs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  <w:hideMark/>
          </w:tcPr>
          <w:p w:rsidR="00E36D7A" w:rsidRPr="005E4FCB" w:rsidRDefault="00E36D7A" w:rsidP="00D62762">
            <w:pPr>
              <w:tabs>
                <w:tab w:val="left" w:pos="3668"/>
              </w:tabs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4FCB">
              <w:rPr>
                <w:rFonts w:ascii="Arial" w:hAnsi="Arial" w:cs="Arial"/>
                <w:sz w:val="20"/>
                <w:szCs w:val="20"/>
              </w:rPr>
              <w:t xml:space="preserve">(И.О. </w:t>
            </w:r>
            <w:proofErr w:type="spellStart"/>
            <w:r w:rsidRPr="005E4FCB">
              <w:rPr>
                <w:rFonts w:ascii="Arial" w:hAnsi="Arial" w:cs="Arial"/>
                <w:sz w:val="20"/>
                <w:szCs w:val="20"/>
              </w:rPr>
              <w:t>Фамилия</w:t>
            </w:r>
            <w:proofErr w:type="spellEnd"/>
            <w:r w:rsidRPr="005E4F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4" w:type="dxa"/>
            <w:shd w:val="clear" w:color="auto" w:fill="auto"/>
            <w:vAlign w:val="bottom"/>
          </w:tcPr>
          <w:p w:rsidR="00E36D7A" w:rsidRPr="005E4FCB" w:rsidRDefault="00E36D7A" w:rsidP="00D62762">
            <w:pPr>
              <w:tabs>
                <w:tab w:val="left" w:pos="3668"/>
              </w:tabs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36D7A" w:rsidRPr="005E4FCB" w:rsidRDefault="00E36D7A" w:rsidP="00E36D7A">
      <w:pPr>
        <w:tabs>
          <w:tab w:val="left" w:pos="3668"/>
        </w:tabs>
        <w:jc w:val="center"/>
        <w:rPr>
          <w:rFonts w:ascii="Arial" w:eastAsia="Times New Roman" w:hAnsi="Arial" w:cs="Arial"/>
          <w:sz w:val="20"/>
          <w:szCs w:val="20"/>
        </w:rPr>
      </w:pPr>
    </w:p>
    <w:p w:rsidR="00E36D7A" w:rsidRPr="005E4FCB" w:rsidRDefault="00E36D7A" w:rsidP="00E36D7A">
      <w:pPr>
        <w:pStyle w:val="ConsPlusNormal0"/>
        <w:tabs>
          <w:tab w:val="left" w:pos="3668"/>
        </w:tabs>
        <w:ind w:firstLine="540"/>
        <w:jc w:val="both"/>
      </w:pPr>
    </w:p>
    <w:p w:rsidR="00E36D7A" w:rsidRPr="005E4FCB" w:rsidRDefault="00E36D7A" w:rsidP="00E36D7A">
      <w:pPr>
        <w:pStyle w:val="ConsPlusNormal0"/>
        <w:tabs>
          <w:tab w:val="left" w:pos="3668"/>
        </w:tabs>
        <w:ind w:firstLine="0"/>
        <w:jc w:val="both"/>
      </w:pPr>
      <w:proofErr w:type="gramStart"/>
      <w:r w:rsidRPr="005E4FCB">
        <w:t>Настоящий Отчет эмитента содержит сведения об эмитенте, о финансово-хозяйственной деятельности эмитента, финансовом состоянии эмитента, о размещенных ценных бумагах и исполнении обязательств по ним, сведения о лице, предоставляющем обеспечение по облигациям эмитента</w:t>
      </w:r>
      <w:r w:rsidRPr="005E4FCB">
        <w:rPr>
          <w:rStyle w:val="a5"/>
          <w:rFonts w:eastAsiaTheme="majorEastAsia"/>
        </w:rPr>
        <w:footnoteReference w:id="2"/>
      </w:r>
      <w:r w:rsidRPr="005E4FCB">
        <w:t>. Инвесторы не должны полностью полагаться на оценки и прогнозы эмитента, приведенные в настоящем Отчете эмитента, так как фактические результаты деятельности эмитента (эмитента и лица, предоставляющего обеспечение по облигациям эмитента</w:t>
      </w:r>
      <w:proofErr w:type="gramEnd"/>
      <w:r w:rsidRPr="005E4FCB">
        <w:t>) в будущем могут отличаться от прогнозируемых результатов по многим причинам. Приобретение ценных бумаг эмитента связано с рисками, описанными в настоящем Отчете эмитента</w:t>
      </w:r>
      <w:r w:rsidRPr="005E4FCB">
        <w:rPr>
          <w:rStyle w:val="a5"/>
          <w:rFonts w:eastAsiaTheme="majorEastAsia"/>
        </w:rPr>
        <w:footnoteReference w:id="3"/>
      </w:r>
      <w:r w:rsidRPr="005E4FCB">
        <w:t>.</w:t>
      </w:r>
    </w:p>
    <w:p w:rsidR="00E36D7A" w:rsidRPr="005E4FCB" w:rsidRDefault="00E36D7A" w:rsidP="00E36D7A">
      <w:pPr>
        <w:tabs>
          <w:tab w:val="left" w:pos="3668"/>
        </w:tabs>
        <w:rPr>
          <w:rFonts w:ascii="Arial" w:hAnsi="Arial" w:cs="Arial"/>
          <w:b/>
          <w:sz w:val="20"/>
          <w:szCs w:val="20"/>
          <w:lang w:val="ru-RU"/>
        </w:rPr>
      </w:pPr>
    </w:p>
    <w:p w:rsidR="00E36D7A" w:rsidRPr="005E4FCB" w:rsidRDefault="00E36D7A" w:rsidP="00E36D7A">
      <w:pPr>
        <w:tabs>
          <w:tab w:val="left" w:pos="3668"/>
        </w:tabs>
        <w:rPr>
          <w:rFonts w:ascii="Arial" w:hAnsi="Arial" w:cs="Arial"/>
          <w:b/>
          <w:sz w:val="20"/>
          <w:szCs w:val="20"/>
          <w:lang w:val="ru-RU"/>
        </w:rPr>
        <w:sectPr w:rsidR="00E36D7A" w:rsidRPr="005E4FCB" w:rsidSect="001A24A5">
          <w:pgSz w:w="11906" w:h="16838"/>
          <w:pgMar w:top="568" w:right="850" w:bottom="851" w:left="851" w:header="708" w:footer="708" w:gutter="0"/>
          <w:cols w:space="708"/>
          <w:titlePg/>
          <w:docGrid w:linePitch="360"/>
        </w:sectPr>
      </w:pP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</w:rPr>
      </w:pPr>
      <w:bookmarkStart w:id="1" w:name="_Toc83913902"/>
      <w:bookmarkStart w:id="2" w:name="_Toc83913937"/>
      <w:bookmarkStart w:id="3" w:name="_Toc83913951"/>
      <w:bookmarkStart w:id="4" w:name="_Toc83913975"/>
      <w:bookmarkStart w:id="5" w:name="_Toc83914023"/>
      <w:bookmarkStart w:id="6" w:name="_Toc83914120"/>
      <w:bookmarkStart w:id="7" w:name="_Toc83914133"/>
      <w:bookmarkStart w:id="8" w:name="_Toc83914373"/>
      <w:bookmarkStart w:id="9" w:name="_Toc83914391"/>
      <w:bookmarkStart w:id="10" w:name="_Toc83914430"/>
      <w:bookmarkStart w:id="11" w:name="_Toc83914443"/>
      <w:bookmarkStart w:id="12" w:name="_Toc83914456"/>
      <w:bookmarkStart w:id="13" w:name="_Toc83914469"/>
      <w:bookmarkStart w:id="14" w:name="_Toc83914482"/>
      <w:bookmarkStart w:id="15" w:name="_Toc83914501"/>
      <w:bookmarkStart w:id="16" w:name="_Toc83914524"/>
      <w:bookmarkStart w:id="17" w:name="_Toc83914615"/>
      <w:bookmarkStart w:id="18" w:name="_Toc9064946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5E4FCB">
        <w:rPr>
          <w:rFonts w:ascii="Arial" w:hAnsi="Arial" w:cs="Arial"/>
          <w:b/>
          <w:sz w:val="20"/>
          <w:szCs w:val="20"/>
        </w:rPr>
        <w:lastRenderedPageBreak/>
        <w:t>1. КРАТКИЕ СВЕДЕНИЯ ОБ ЭМИТЕНТЕ</w:t>
      </w:r>
      <w:bookmarkEnd w:id="18"/>
    </w:p>
    <w:tbl>
      <w:tblPr>
        <w:tblW w:w="10530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4577"/>
        <w:gridCol w:w="5953"/>
      </w:tblGrid>
      <w:tr w:rsidR="00E36D7A" w:rsidRPr="0052576C" w:rsidTr="00D62762">
        <w:trPr>
          <w:trHeight w:val="74"/>
        </w:trPr>
        <w:tc>
          <w:tcPr>
            <w:tcW w:w="4577" w:type="dxa"/>
            <w:tcBorders>
              <w:top w:val="single" w:sz="4" w:space="0" w:color="000000" w:themeColor="text1"/>
            </w:tcBorders>
          </w:tcPr>
          <w:p w:rsidR="00E36D7A" w:rsidRPr="005E4FCB" w:rsidRDefault="00E36D7A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</w:t>
            </w:r>
            <w:proofErr w:type="spellEnd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эмитента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:rsidR="00E36D7A" w:rsidRPr="005E4FCB" w:rsidRDefault="00E36D7A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6D7A" w:rsidRPr="0052576C" w:rsidTr="00D62762">
        <w:tc>
          <w:tcPr>
            <w:tcW w:w="4577" w:type="dxa"/>
          </w:tcPr>
          <w:p w:rsidR="00E36D7A" w:rsidRPr="005E4FCB" w:rsidRDefault="00E36D7A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Сокращенное</w:t>
            </w:r>
            <w:proofErr w:type="spellEnd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эмитента</w:t>
            </w:r>
            <w:proofErr w:type="spellEnd"/>
          </w:p>
        </w:tc>
        <w:tc>
          <w:tcPr>
            <w:tcW w:w="5953" w:type="dxa"/>
            <w:shd w:val="clear" w:color="auto" w:fill="F2F2F2" w:themeFill="background1" w:themeFillShade="F2"/>
          </w:tcPr>
          <w:p w:rsidR="00E36D7A" w:rsidRPr="005E4FCB" w:rsidRDefault="00E36D7A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6D7A" w:rsidRPr="003F19AA" w:rsidTr="00D62762">
        <w:tc>
          <w:tcPr>
            <w:tcW w:w="4577" w:type="dxa"/>
          </w:tcPr>
          <w:p w:rsidR="00E36D7A" w:rsidRPr="005E4FCB" w:rsidRDefault="00E36D7A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Место нахождения и фактический адрес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E36D7A" w:rsidRPr="005E4FCB" w:rsidRDefault="00E36D7A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E36D7A" w:rsidRPr="0052576C" w:rsidTr="00D62762">
        <w:tc>
          <w:tcPr>
            <w:tcW w:w="4577" w:type="dxa"/>
          </w:tcPr>
          <w:p w:rsidR="00E36D7A" w:rsidRPr="005E4FCB" w:rsidRDefault="00E36D7A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  <w:proofErr w:type="spellEnd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государственной</w:t>
            </w:r>
            <w:proofErr w:type="spellEnd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регистрации</w:t>
            </w:r>
            <w:proofErr w:type="spellEnd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/ОГРН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E36D7A" w:rsidRPr="005E4FCB" w:rsidRDefault="00E36D7A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6D7A" w:rsidRPr="0052576C" w:rsidTr="00D62762">
        <w:tc>
          <w:tcPr>
            <w:tcW w:w="4577" w:type="dxa"/>
          </w:tcPr>
          <w:p w:rsidR="00E36D7A" w:rsidRPr="005E4FCB" w:rsidRDefault="00E36D7A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  <w:r w:rsidRPr="005E4FC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/КПП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E36D7A" w:rsidRPr="005E4FCB" w:rsidRDefault="00E36D7A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6D7A" w:rsidRPr="0052576C" w:rsidTr="00D62762">
        <w:tc>
          <w:tcPr>
            <w:tcW w:w="4577" w:type="dxa"/>
          </w:tcPr>
          <w:p w:rsidR="00E36D7A" w:rsidRPr="005E4FCB" w:rsidRDefault="00E36D7A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Основной</w:t>
            </w:r>
            <w:proofErr w:type="spellEnd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</w:t>
            </w:r>
            <w:proofErr w:type="spellEnd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деятельности</w:t>
            </w:r>
            <w:proofErr w:type="spellEnd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эмитента</w:t>
            </w:r>
            <w:proofErr w:type="spellEnd"/>
          </w:p>
        </w:tc>
        <w:tc>
          <w:tcPr>
            <w:tcW w:w="5953" w:type="dxa"/>
            <w:shd w:val="clear" w:color="auto" w:fill="F2F2F2" w:themeFill="background1" w:themeFillShade="F2"/>
          </w:tcPr>
          <w:p w:rsidR="00E36D7A" w:rsidRPr="005E4FCB" w:rsidRDefault="00E36D7A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6D7A" w:rsidRPr="0052576C" w:rsidTr="00D62762">
        <w:trPr>
          <w:trHeight w:val="74"/>
        </w:trPr>
        <w:tc>
          <w:tcPr>
            <w:tcW w:w="4577" w:type="dxa"/>
          </w:tcPr>
          <w:p w:rsidR="00E36D7A" w:rsidRPr="005E4FCB" w:rsidRDefault="00E36D7A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Корпоративный</w:t>
            </w:r>
            <w:proofErr w:type="spellEnd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</w:t>
            </w:r>
            <w:proofErr w:type="spellEnd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E36D7A" w:rsidRPr="005E4FCB" w:rsidRDefault="00E36D7A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6D7A" w:rsidRPr="0052576C" w:rsidTr="00D62762">
        <w:tc>
          <w:tcPr>
            <w:tcW w:w="4577" w:type="dxa"/>
          </w:tcPr>
          <w:p w:rsidR="00E36D7A" w:rsidRPr="005E4FCB" w:rsidRDefault="00E36D7A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ЕИО (ФИО):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E36D7A" w:rsidRPr="005E4FCB" w:rsidRDefault="00E36D7A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36D7A" w:rsidRPr="003F19AA" w:rsidTr="00D62762">
        <w:tc>
          <w:tcPr>
            <w:tcW w:w="4577" w:type="dxa"/>
          </w:tcPr>
          <w:p w:rsidR="00E36D7A" w:rsidRPr="005E4FCB" w:rsidRDefault="00E36D7A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5E4FC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Контактный телефон (с междугородним кодом).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E36D7A" w:rsidRPr="0052576C" w:rsidRDefault="00E36D7A" w:rsidP="00D62762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/>
              </w:rPr>
            </w:pPr>
          </w:p>
        </w:tc>
      </w:tr>
      <w:tr w:rsidR="00E36D7A" w:rsidRPr="0052576C" w:rsidTr="00D62762">
        <w:tc>
          <w:tcPr>
            <w:tcW w:w="4577" w:type="dxa"/>
            <w:tcBorders>
              <w:bottom w:val="single" w:sz="4" w:space="0" w:color="000000" w:themeColor="text1"/>
            </w:tcBorders>
          </w:tcPr>
          <w:p w:rsidR="00E36D7A" w:rsidRPr="005E4FCB" w:rsidRDefault="00E36D7A" w:rsidP="00D62762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  <w:proofErr w:type="spellEnd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</w:t>
            </w:r>
            <w:proofErr w:type="spellEnd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E4F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почты</w:t>
            </w:r>
            <w:proofErr w:type="spellEnd"/>
          </w:p>
        </w:tc>
        <w:tc>
          <w:tcPr>
            <w:tcW w:w="595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E36D7A" w:rsidRPr="0052576C" w:rsidRDefault="00E36D7A" w:rsidP="00D62762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</w:tbl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bookmarkStart w:id="19" w:name="_Toc90649461"/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</w:rPr>
      </w:pPr>
      <w:r w:rsidRPr="005E4FCB">
        <w:rPr>
          <w:rFonts w:ascii="Arial" w:hAnsi="Arial" w:cs="Arial"/>
          <w:b/>
          <w:sz w:val="20"/>
          <w:szCs w:val="20"/>
        </w:rPr>
        <w:t>2. ОПИСАНИЕ ДЕЯТЕЛЬНОСТИ ЭМИТЕНТА</w:t>
      </w:r>
      <w:bookmarkEnd w:id="19"/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Указываются основные элементы стратегии: миссия и принципы стратегии, при наличии. 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Описание основного направления деятельности эмитента, приоритетов и ключевых этапов развития, краткая история создания. 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Конкурентные преимущества эмитента в отрасли, занимаемое место в сегмент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е(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>ах) бизнеса, география ведения бизнеса (схематично).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Приводится бизнес-модель эмитента. Указывается перечень предлагаемых товаров/услуг. 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Указывается сегментация выручки в динамике прошлых периодов (за 3 года или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с даты создания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эмитента):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 - по типам предоставления продукции/услуг;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 - по типам потенциальных потребителей;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 - по объему продаж;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 - географическому принципу.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Перечень основных заказчиков-потребителей продукции/услуг эмитента, основных контрагентов/поставщиков (с долей в структуре выручки).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Подробно обозначить цели/программы целей и задачи в среднесрочной либо долгосрочной перспективе с горизонтом планирования от 2 до 10 лет, итоги выполнения целей/задач.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bookmarkStart w:id="20" w:name="_Toc90649462"/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3. СТРУКТУРА ВЛАДЕНИЯ И КОРПОРАТИВНОЕ УПРАВЛЕНИЕ ЭМИТЕНТА</w:t>
      </w:r>
      <w:bookmarkEnd w:id="20"/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 xml:space="preserve">Приводится организационная структура компании: структура акционеров/участников (бенефициары и доля их прямого или косвенного владения в капитале эмитента; структура органов управления (совет директоров, коллегиальный исполнительный орган, при наличии, единоличный исполнительный орган). </w:t>
      </w:r>
      <w:proofErr w:type="gramEnd"/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Описание и схема группы/холдинга, в которую входит эмитент, подконтрольные и зависимые организации, имеющие существенное значение для принятия инвестиционных решений.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Структура взаимодействия с дочерними/подотчетными организациями.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5E4FCB">
        <w:rPr>
          <w:rFonts w:ascii="Arial" w:hAnsi="Arial" w:cs="Arial"/>
          <w:sz w:val="20"/>
          <w:szCs w:val="20"/>
        </w:rPr>
        <w:t>Краткие</w:t>
      </w:r>
      <w:proofErr w:type="spellEnd"/>
      <w:r w:rsidRPr="005E4F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sz w:val="20"/>
          <w:szCs w:val="20"/>
        </w:rPr>
        <w:t>сведения</w:t>
      </w:r>
      <w:proofErr w:type="spellEnd"/>
      <w:r w:rsidRPr="005E4FCB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E4FCB">
        <w:rPr>
          <w:rFonts w:ascii="Arial" w:hAnsi="Arial" w:cs="Arial"/>
          <w:sz w:val="20"/>
          <w:szCs w:val="20"/>
        </w:rPr>
        <w:t>руководстве</w:t>
      </w:r>
      <w:proofErr w:type="spellEnd"/>
      <w:r w:rsidRPr="005E4FCB">
        <w:rPr>
          <w:rFonts w:ascii="Arial" w:hAnsi="Arial" w:cs="Arial"/>
          <w:sz w:val="20"/>
          <w:szCs w:val="20"/>
        </w:rPr>
        <w:t xml:space="preserve">: 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418"/>
        <w:gridCol w:w="2410"/>
        <w:gridCol w:w="4819"/>
      </w:tblGrid>
      <w:tr w:rsidR="00E36D7A" w:rsidRPr="003F19AA" w:rsidTr="00D62762">
        <w:tc>
          <w:tcPr>
            <w:tcW w:w="18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36D7A" w:rsidRPr="00D159CA" w:rsidRDefault="00E36D7A" w:rsidP="00D62762">
            <w:pPr>
              <w:tabs>
                <w:tab w:val="left" w:pos="366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159CA">
              <w:rPr>
                <w:rFonts w:ascii="Arial" w:hAnsi="Arial" w:cs="Arial"/>
                <w:b/>
                <w:sz w:val="18"/>
                <w:szCs w:val="18"/>
              </w:rPr>
              <w:t>ФИО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36D7A" w:rsidRPr="00D159CA" w:rsidRDefault="00E36D7A" w:rsidP="00D62762">
            <w:pPr>
              <w:tabs>
                <w:tab w:val="left" w:pos="3668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159CA">
              <w:rPr>
                <w:rFonts w:ascii="Arial" w:hAnsi="Arial" w:cs="Arial"/>
                <w:b/>
                <w:sz w:val="18"/>
                <w:szCs w:val="18"/>
              </w:rPr>
              <w:t>Должность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36D7A" w:rsidRPr="00D159CA" w:rsidRDefault="00E36D7A" w:rsidP="00D62762">
            <w:pPr>
              <w:tabs>
                <w:tab w:val="left" w:pos="3668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159CA">
              <w:rPr>
                <w:rFonts w:ascii="Arial" w:hAnsi="Arial" w:cs="Arial"/>
                <w:b/>
                <w:sz w:val="18"/>
                <w:szCs w:val="18"/>
                <w:lang w:val="ru-RU"/>
              </w:rPr>
              <w:t>Год начала работы в компании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E36D7A" w:rsidRPr="00D159CA" w:rsidRDefault="00E36D7A" w:rsidP="00D62762">
            <w:pPr>
              <w:tabs>
                <w:tab w:val="left" w:pos="3668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159C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Указание занимаемых должностей, наименований организаций (включая местоположение организаций) за </w:t>
            </w:r>
            <w:proofErr w:type="gramStart"/>
            <w:r w:rsidRPr="00D159CA">
              <w:rPr>
                <w:rFonts w:ascii="Arial" w:hAnsi="Arial" w:cs="Arial"/>
                <w:b/>
                <w:sz w:val="18"/>
                <w:szCs w:val="18"/>
                <w:lang w:val="ru-RU"/>
              </w:rPr>
              <w:t>последние</w:t>
            </w:r>
            <w:proofErr w:type="gramEnd"/>
            <w:r w:rsidRPr="00D159C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3 года</w:t>
            </w:r>
          </w:p>
        </w:tc>
      </w:tr>
      <w:tr w:rsidR="00E36D7A" w:rsidRPr="003F19AA" w:rsidTr="00D62762">
        <w:tc>
          <w:tcPr>
            <w:tcW w:w="1809" w:type="dxa"/>
            <w:tcBorders>
              <w:top w:val="single" w:sz="4" w:space="0" w:color="000000" w:themeColor="text1"/>
              <w:right w:val="single" w:sz="4" w:space="0" w:color="auto"/>
            </w:tcBorders>
          </w:tcPr>
          <w:p w:rsidR="00E36D7A" w:rsidRPr="005E4FCB" w:rsidRDefault="00E36D7A" w:rsidP="00D62762">
            <w:pPr>
              <w:tabs>
                <w:tab w:val="left" w:pos="3668"/>
              </w:tabs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36D7A" w:rsidRPr="005E4FCB" w:rsidRDefault="00E36D7A" w:rsidP="00D62762">
            <w:pPr>
              <w:tabs>
                <w:tab w:val="left" w:pos="3668"/>
              </w:tabs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E36D7A" w:rsidRPr="005E4FCB" w:rsidRDefault="00E36D7A" w:rsidP="00D62762">
            <w:pPr>
              <w:tabs>
                <w:tab w:val="left" w:pos="3668"/>
              </w:tabs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E36D7A" w:rsidRPr="005E4FCB" w:rsidRDefault="00E36D7A" w:rsidP="00D62762">
            <w:pPr>
              <w:tabs>
                <w:tab w:val="left" w:pos="3668"/>
              </w:tabs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bookmarkStart w:id="21" w:name="_Toc90649463"/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4. СВЕДЕНИЯ О КРЕДИТНЫХ РЕЙТИНГАХ ЭМИТЕНТА/ВЫПУСКОВ ЦЕННЫХ БУМАГ</w:t>
      </w:r>
      <w:bookmarkEnd w:id="21"/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Приводится информация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о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всех имеющихся кредитных рейтингах эмитента и (или) выпусков ценных бумаг с датой их присвоения.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bookmarkStart w:id="22" w:name="_Toc90649464"/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5. ДОЛГОВАЯ НАГРУЗКА ЭМИТЕНТА / СУДЕБНЫЕ СПОРЫ</w:t>
      </w:r>
      <w:bookmarkEnd w:id="22"/>
    </w:p>
    <w:p w:rsidR="00E36D7A" w:rsidRPr="005E4FCB" w:rsidRDefault="00E36D7A" w:rsidP="00E36D7A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Кредитная история эмитента: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39"/>
        <w:gridCol w:w="1599"/>
        <w:gridCol w:w="1934"/>
        <w:gridCol w:w="1127"/>
        <w:gridCol w:w="1400"/>
        <w:gridCol w:w="1211"/>
        <w:gridCol w:w="1105"/>
      </w:tblGrid>
      <w:tr w:rsidR="00E36D7A" w:rsidRPr="00D159CA" w:rsidTr="00D62762">
        <w:tc>
          <w:tcPr>
            <w:tcW w:w="153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36D7A" w:rsidRPr="00D159CA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159CA">
              <w:rPr>
                <w:rFonts w:ascii="Arial" w:hAnsi="Arial" w:cs="Arial"/>
                <w:b/>
                <w:sz w:val="18"/>
                <w:szCs w:val="18"/>
              </w:rPr>
              <w:t>Наименование</w:t>
            </w:r>
            <w:proofErr w:type="spellEnd"/>
            <w:r w:rsidRPr="00D159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159CA">
              <w:rPr>
                <w:rFonts w:ascii="Arial" w:hAnsi="Arial" w:cs="Arial"/>
                <w:b/>
                <w:sz w:val="18"/>
                <w:szCs w:val="18"/>
              </w:rPr>
              <w:t>кредитора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36D7A" w:rsidRPr="00D159CA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159CA">
              <w:rPr>
                <w:rFonts w:ascii="Arial" w:hAnsi="Arial" w:cs="Arial"/>
                <w:b/>
                <w:sz w:val="18"/>
                <w:szCs w:val="18"/>
              </w:rPr>
              <w:t>Лимит</w:t>
            </w:r>
            <w:proofErr w:type="spellEnd"/>
            <w:r w:rsidRPr="00D159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159CA">
              <w:rPr>
                <w:rFonts w:ascii="Arial" w:hAnsi="Arial" w:cs="Arial"/>
                <w:b/>
                <w:sz w:val="18"/>
                <w:szCs w:val="18"/>
              </w:rPr>
              <w:t>задолженности</w:t>
            </w:r>
            <w:proofErr w:type="spellEnd"/>
            <w:r w:rsidRPr="00D159CA">
              <w:rPr>
                <w:rFonts w:ascii="Arial" w:hAnsi="Arial" w:cs="Arial"/>
                <w:b/>
                <w:sz w:val="18"/>
                <w:szCs w:val="18"/>
              </w:rPr>
              <w:t xml:space="preserve"> в </w:t>
            </w:r>
            <w:proofErr w:type="spellStart"/>
            <w:r w:rsidRPr="00D159CA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Pr="00D159C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36D7A" w:rsidRPr="00D159CA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159C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Задолженность по основному долгу, руб.  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36D7A" w:rsidRPr="00D159CA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159CA">
              <w:rPr>
                <w:rFonts w:ascii="Arial" w:hAnsi="Arial" w:cs="Arial"/>
                <w:b/>
                <w:sz w:val="18"/>
                <w:szCs w:val="18"/>
              </w:rPr>
              <w:t>Дата</w:t>
            </w:r>
            <w:proofErr w:type="spellEnd"/>
            <w:r w:rsidRPr="00D159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159CA">
              <w:rPr>
                <w:rFonts w:ascii="Arial" w:hAnsi="Arial" w:cs="Arial"/>
                <w:b/>
                <w:sz w:val="18"/>
                <w:szCs w:val="18"/>
              </w:rPr>
              <w:t>выдачи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36D7A" w:rsidRPr="00D159CA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159CA">
              <w:rPr>
                <w:rFonts w:ascii="Arial" w:hAnsi="Arial" w:cs="Arial"/>
                <w:b/>
                <w:sz w:val="18"/>
                <w:szCs w:val="18"/>
              </w:rPr>
              <w:t>Дата</w:t>
            </w:r>
            <w:proofErr w:type="spellEnd"/>
            <w:r w:rsidRPr="00D159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159CA">
              <w:rPr>
                <w:rFonts w:ascii="Arial" w:hAnsi="Arial" w:cs="Arial"/>
                <w:b/>
                <w:sz w:val="18"/>
                <w:szCs w:val="18"/>
              </w:rPr>
              <w:t>погашения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36D7A" w:rsidRPr="00D159CA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159CA">
              <w:rPr>
                <w:rFonts w:ascii="Arial" w:hAnsi="Arial" w:cs="Arial"/>
                <w:b/>
                <w:sz w:val="18"/>
                <w:szCs w:val="18"/>
              </w:rPr>
              <w:t>Срок</w:t>
            </w:r>
            <w:proofErr w:type="spellEnd"/>
            <w:r w:rsidRPr="00D159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159CA">
              <w:rPr>
                <w:rFonts w:ascii="Arial" w:hAnsi="Arial" w:cs="Arial"/>
                <w:b/>
                <w:sz w:val="18"/>
                <w:szCs w:val="18"/>
              </w:rPr>
              <w:t>кредита</w:t>
            </w:r>
            <w:proofErr w:type="spellEnd"/>
            <w:r w:rsidRPr="00D159CA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D159CA">
              <w:rPr>
                <w:rFonts w:ascii="Arial" w:hAnsi="Arial" w:cs="Arial"/>
                <w:b/>
                <w:sz w:val="18"/>
                <w:szCs w:val="18"/>
              </w:rPr>
              <w:t>дней</w:t>
            </w:r>
            <w:proofErr w:type="spellEnd"/>
            <w:r w:rsidRPr="00D159CA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D159CA">
              <w:rPr>
                <w:rFonts w:ascii="Arial" w:hAnsi="Arial" w:cs="Arial"/>
                <w:b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36D7A" w:rsidRPr="00D159CA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159CA">
              <w:rPr>
                <w:rFonts w:ascii="Arial" w:hAnsi="Arial" w:cs="Arial"/>
                <w:b/>
                <w:sz w:val="18"/>
                <w:szCs w:val="18"/>
              </w:rPr>
              <w:t>Ставка</w:t>
            </w:r>
            <w:proofErr w:type="spellEnd"/>
            <w:r w:rsidRPr="00D159CA">
              <w:rPr>
                <w:rFonts w:ascii="Arial" w:hAnsi="Arial" w:cs="Arial"/>
                <w:b/>
                <w:sz w:val="18"/>
                <w:szCs w:val="18"/>
              </w:rPr>
              <w:t>, %</w:t>
            </w:r>
          </w:p>
        </w:tc>
      </w:tr>
      <w:tr w:rsidR="00E36D7A" w:rsidRPr="00D159CA" w:rsidTr="00D62762">
        <w:tc>
          <w:tcPr>
            <w:tcW w:w="1539" w:type="dxa"/>
            <w:tcBorders>
              <w:top w:val="single" w:sz="4" w:space="0" w:color="000000" w:themeColor="text1"/>
            </w:tcBorders>
          </w:tcPr>
          <w:p w:rsidR="00E36D7A" w:rsidRPr="005E4FCB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000000" w:themeColor="text1"/>
            </w:tcBorders>
          </w:tcPr>
          <w:p w:rsidR="00E36D7A" w:rsidRPr="005E4FCB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000000" w:themeColor="text1"/>
            </w:tcBorders>
          </w:tcPr>
          <w:p w:rsidR="00E36D7A" w:rsidRPr="005E4FCB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000000" w:themeColor="text1"/>
            </w:tcBorders>
          </w:tcPr>
          <w:p w:rsidR="00E36D7A" w:rsidRPr="005E4FCB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</w:tcBorders>
          </w:tcPr>
          <w:p w:rsidR="00E36D7A" w:rsidRPr="005E4FCB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</w:tcBorders>
          </w:tcPr>
          <w:p w:rsidR="00E36D7A" w:rsidRPr="005E4FCB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</w:tcBorders>
          </w:tcPr>
          <w:p w:rsidR="00E36D7A" w:rsidRPr="005E4FCB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36D7A" w:rsidRPr="005E4FCB" w:rsidRDefault="00E36D7A" w:rsidP="00E36D7A">
      <w:pPr>
        <w:tabs>
          <w:tab w:val="left" w:pos="3668"/>
        </w:tabs>
        <w:rPr>
          <w:rFonts w:ascii="Arial" w:eastAsia="Times New Roman" w:hAnsi="Arial" w:cs="Arial"/>
          <w:sz w:val="20"/>
          <w:szCs w:val="20"/>
          <w:lang w:eastAsia="ru-RU"/>
        </w:rPr>
      </w:pP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</w:rPr>
      </w:pPr>
      <w:r w:rsidRPr="005E4FCB">
        <w:rPr>
          <w:rFonts w:ascii="Arial" w:eastAsia="Times New Roman" w:hAnsi="Arial" w:cs="Arial"/>
          <w:sz w:val="20"/>
          <w:szCs w:val="20"/>
          <w:lang w:val="ru-RU" w:eastAsia="ru-RU"/>
        </w:rPr>
        <w:t xml:space="preserve">Указывается список контрагентов в структуре кредиторской задолженности на конец года и на последнюю </w:t>
      </w:r>
      <w:proofErr w:type="spellStart"/>
      <w:r w:rsidRPr="005E4FCB">
        <w:rPr>
          <w:rFonts w:ascii="Arial" w:eastAsia="Times New Roman" w:hAnsi="Arial" w:cs="Arial"/>
          <w:sz w:val="20"/>
          <w:szCs w:val="20"/>
          <w:lang w:eastAsia="ru-RU"/>
        </w:rPr>
        <w:t>отчетную</w:t>
      </w:r>
      <w:proofErr w:type="spellEnd"/>
      <w:r w:rsidRPr="005E4FC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5E4FCB">
        <w:rPr>
          <w:rFonts w:ascii="Arial" w:eastAsia="Times New Roman" w:hAnsi="Arial" w:cs="Arial"/>
          <w:sz w:val="20"/>
          <w:szCs w:val="20"/>
          <w:lang w:eastAsia="ru-RU"/>
        </w:rPr>
        <w:t>дату</w:t>
      </w:r>
      <w:proofErr w:type="spellEnd"/>
      <w:r w:rsidRPr="005E4FCB">
        <w:rPr>
          <w:rFonts w:ascii="Arial" w:eastAsia="Times New Roman" w:hAnsi="Arial" w:cs="Arial"/>
          <w:sz w:val="20"/>
          <w:szCs w:val="20"/>
          <w:lang w:eastAsia="ru-RU"/>
        </w:rPr>
        <w:t xml:space="preserve"> (с </w:t>
      </w:r>
      <w:proofErr w:type="spellStart"/>
      <w:r w:rsidRPr="005E4FCB">
        <w:rPr>
          <w:rFonts w:ascii="Arial" w:eastAsia="Times New Roman" w:hAnsi="Arial" w:cs="Arial"/>
          <w:sz w:val="20"/>
          <w:szCs w:val="20"/>
          <w:lang w:eastAsia="ru-RU"/>
        </w:rPr>
        <w:t>долей</w:t>
      </w:r>
      <w:proofErr w:type="spellEnd"/>
      <w:r w:rsidRPr="005E4FCB">
        <w:rPr>
          <w:rFonts w:ascii="Arial" w:eastAsia="Times New Roman" w:hAnsi="Arial" w:cs="Arial"/>
          <w:sz w:val="20"/>
          <w:szCs w:val="20"/>
          <w:lang w:eastAsia="ru-RU"/>
        </w:rPr>
        <w:t xml:space="preserve"> в </w:t>
      </w:r>
      <w:proofErr w:type="spellStart"/>
      <w:r w:rsidRPr="005E4FCB">
        <w:rPr>
          <w:rFonts w:ascii="Arial" w:eastAsia="Times New Roman" w:hAnsi="Arial" w:cs="Arial"/>
          <w:sz w:val="20"/>
          <w:szCs w:val="20"/>
          <w:lang w:eastAsia="ru-RU"/>
        </w:rPr>
        <w:t>структуре</w:t>
      </w:r>
      <w:proofErr w:type="spellEnd"/>
      <w:r w:rsidRPr="005E4FC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5E4FCB">
        <w:rPr>
          <w:rFonts w:ascii="Arial" w:eastAsia="Times New Roman" w:hAnsi="Arial" w:cs="Arial"/>
          <w:sz w:val="20"/>
          <w:szCs w:val="20"/>
          <w:lang w:eastAsia="ru-RU"/>
        </w:rPr>
        <w:t>кредиторской</w:t>
      </w:r>
      <w:proofErr w:type="spellEnd"/>
      <w:r w:rsidRPr="005E4FC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5E4FCB">
        <w:rPr>
          <w:rFonts w:ascii="Arial" w:eastAsia="Times New Roman" w:hAnsi="Arial" w:cs="Arial"/>
          <w:sz w:val="20"/>
          <w:szCs w:val="20"/>
          <w:lang w:eastAsia="ru-RU"/>
        </w:rPr>
        <w:t>задолженности</w:t>
      </w:r>
      <w:proofErr w:type="spellEnd"/>
      <w:r w:rsidRPr="005E4FCB">
        <w:rPr>
          <w:rFonts w:ascii="Arial" w:eastAsia="Times New Roman" w:hAnsi="Arial" w:cs="Arial"/>
          <w:sz w:val="20"/>
          <w:szCs w:val="20"/>
          <w:lang w:eastAsia="ru-RU"/>
        </w:rPr>
        <w:t>):</w:t>
      </w:r>
      <w:r w:rsidRPr="005E4FC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91"/>
        <w:gridCol w:w="2453"/>
        <w:gridCol w:w="2874"/>
        <w:gridCol w:w="2378"/>
      </w:tblGrid>
      <w:tr w:rsidR="00E36D7A" w:rsidRPr="003F19AA" w:rsidTr="00D62762">
        <w:trPr>
          <w:trHeight w:val="793"/>
        </w:trPr>
        <w:tc>
          <w:tcPr>
            <w:tcW w:w="229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36D7A" w:rsidRPr="00D159CA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159CA">
              <w:rPr>
                <w:rFonts w:ascii="Arial" w:hAnsi="Arial" w:cs="Arial"/>
                <w:b/>
                <w:sz w:val="18"/>
                <w:szCs w:val="18"/>
              </w:rPr>
              <w:t>Наименование</w:t>
            </w:r>
            <w:proofErr w:type="spellEnd"/>
            <w:r w:rsidRPr="00D159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159CA">
              <w:rPr>
                <w:rFonts w:ascii="Arial" w:hAnsi="Arial" w:cs="Arial"/>
                <w:b/>
                <w:sz w:val="18"/>
                <w:szCs w:val="18"/>
              </w:rPr>
              <w:t>кредитора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36D7A" w:rsidRPr="00D159CA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159CA">
              <w:rPr>
                <w:rFonts w:ascii="Arial" w:hAnsi="Arial" w:cs="Arial"/>
                <w:b/>
                <w:sz w:val="18"/>
                <w:szCs w:val="18"/>
                <w:lang w:val="ru-RU"/>
              </w:rPr>
              <w:t>Сумма кредиторской задолженности, тыс. руб.</w:t>
            </w: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36D7A" w:rsidRPr="00D159CA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159CA">
              <w:rPr>
                <w:rFonts w:ascii="Arial" w:hAnsi="Arial" w:cs="Arial"/>
                <w:b/>
                <w:sz w:val="18"/>
                <w:szCs w:val="18"/>
              </w:rPr>
              <w:t>Дата</w:t>
            </w:r>
            <w:proofErr w:type="spellEnd"/>
            <w:r w:rsidRPr="00D159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159CA">
              <w:rPr>
                <w:rFonts w:ascii="Arial" w:hAnsi="Arial" w:cs="Arial"/>
                <w:b/>
                <w:sz w:val="18"/>
                <w:szCs w:val="18"/>
              </w:rPr>
              <w:t>возникновения</w:t>
            </w:r>
            <w:proofErr w:type="spellEnd"/>
            <w:r w:rsidRPr="00D159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159CA">
              <w:rPr>
                <w:rFonts w:ascii="Arial" w:hAnsi="Arial" w:cs="Arial"/>
                <w:b/>
                <w:sz w:val="18"/>
                <w:szCs w:val="18"/>
              </w:rPr>
              <w:t>задолженности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36D7A" w:rsidRPr="00D159CA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159CA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Доля в структуре кредиторской задолженности,%</w:t>
            </w:r>
          </w:p>
        </w:tc>
      </w:tr>
      <w:tr w:rsidR="00E36D7A" w:rsidRPr="003F19AA" w:rsidTr="00D62762">
        <w:trPr>
          <w:trHeight w:val="234"/>
        </w:trPr>
        <w:tc>
          <w:tcPr>
            <w:tcW w:w="2291" w:type="dxa"/>
            <w:tcBorders>
              <w:top w:val="single" w:sz="4" w:space="0" w:color="000000" w:themeColor="text1"/>
            </w:tcBorders>
          </w:tcPr>
          <w:p w:rsidR="00E36D7A" w:rsidRPr="005E4FCB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453" w:type="dxa"/>
            <w:tcBorders>
              <w:top w:val="single" w:sz="4" w:space="0" w:color="000000" w:themeColor="text1"/>
            </w:tcBorders>
          </w:tcPr>
          <w:p w:rsidR="00E36D7A" w:rsidRPr="005E4FCB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</w:tcBorders>
          </w:tcPr>
          <w:p w:rsidR="00E36D7A" w:rsidRPr="005E4FCB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378" w:type="dxa"/>
            <w:tcBorders>
              <w:top w:val="single" w:sz="4" w:space="0" w:color="000000" w:themeColor="text1"/>
            </w:tcBorders>
          </w:tcPr>
          <w:p w:rsidR="00E36D7A" w:rsidRPr="005E4FCB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</w:tbl>
    <w:p w:rsidR="00E36D7A" w:rsidRPr="005E4FCB" w:rsidRDefault="00E36D7A" w:rsidP="00E36D7A">
      <w:pPr>
        <w:tabs>
          <w:tab w:val="left" w:pos="3668"/>
        </w:tabs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Указываются сведения о дебиторах эмитента: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91"/>
        <w:gridCol w:w="2453"/>
        <w:gridCol w:w="2874"/>
        <w:gridCol w:w="2378"/>
      </w:tblGrid>
      <w:tr w:rsidR="00E36D7A" w:rsidRPr="003F19AA" w:rsidTr="00D62762">
        <w:trPr>
          <w:trHeight w:val="793"/>
        </w:trPr>
        <w:tc>
          <w:tcPr>
            <w:tcW w:w="229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36D7A" w:rsidRPr="00D159CA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159CA">
              <w:rPr>
                <w:rFonts w:ascii="Arial" w:hAnsi="Arial" w:cs="Arial"/>
                <w:b/>
                <w:sz w:val="18"/>
                <w:szCs w:val="18"/>
              </w:rPr>
              <w:t>Наименование</w:t>
            </w:r>
            <w:proofErr w:type="spellEnd"/>
            <w:r w:rsidRPr="00D159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159CA">
              <w:rPr>
                <w:rFonts w:ascii="Arial" w:hAnsi="Arial" w:cs="Arial"/>
                <w:b/>
                <w:sz w:val="18"/>
                <w:szCs w:val="18"/>
              </w:rPr>
              <w:t>дебитора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36D7A" w:rsidRPr="00D159CA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159CA">
              <w:rPr>
                <w:rFonts w:ascii="Arial" w:hAnsi="Arial" w:cs="Arial"/>
                <w:b/>
                <w:sz w:val="18"/>
                <w:szCs w:val="18"/>
                <w:lang w:val="ru-RU"/>
              </w:rPr>
              <w:t>Сумма дебиторской задолженности, тыс. руб.</w:t>
            </w: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36D7A" w:rsidRPr="00D159CA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159CA">
              <w:rPr>
                <w:rFonts w:ascii="Arial" w:hAnsi="Arial" w:cs="Arial"/>
                <w:b/>
                <w:sz w:val="18"/>
                <w:szCs w:val="18"/>
              </w:rPr>
              <w:t>Дата</w:t>
            </w:r>
            <w:proofErr w:type="spellEnd"/>
            <w:r w:rsidRPr="00D159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159CA">
              <w:rPr>
                <w:rFonts w:ascii="Arial" w:hAnsi="Arial" w:cs="Arial"/>
                <w:b/>
                <w:sz w:val="18"/>
                <w:szCs w:val="18"/>
              </w:rPr>
              <w:t>возникновения</w:t>
            </w:r>
            <w:proofErr w:type="spellEnd"/>
            <w:r w:rsidRPr="00D159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159CA">
              <w:rPr>
                <w:rFonts w:ascii="Arial" w:hAnsi="Arial" w:cs="Arial"/>
                <w:b/>
                <w:sz w:val="18"/>
                <w:szCs w:val="18"/>
              </w:rPr>
              <w:t>задолженности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36D7A" w:rsidRPr="00D159CA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159CA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Доля в структуре дебиторской задолженности,%</w:t>
            </w:r>
          </w:p>
        </w:tc>
      </w:tr>
      <w:tr w:rsidR="00E36D7A" w:rsidRPr="003F19AA" w:rsidTr="00D62762">
        <w:trPr>
          <w:trHeight w:val="234"/>
        </w:trPr>
        <w:tc>
          <w:tcPr>
            <w:tcW w:w="2291" w:type="dxa"/>
            <w:tcBorders>
              <w:top w:val="single" w:sz="4" w:space="0" w:color="000000" w:themeColor="text1"/>
            </w:tcBorders>
          </w:tcPr>
          <w:p w:rsidR="00E36D7A" w:rsidRPr="005E4FCB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453" w:type="dxa"/>
            <w:tcBorders>
              <w:top w:val="single" w:sz="4" w:space="0" w:color="000000" w:themeColor="text1"/>
            </w:tcBorders>
          </w:tcPr>
          <w:p w:rsidR="00E36D7A" w:rsidRPr="005E4FCB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</w:tcBorders>
          </w:tcPr>
          <w:p w:rsidR="00E36D7A" w:rsidRPr="005E4FCB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378" w:type="dxa"/>
            <w:tcBorders>
              <w:top w:val="single" w:sz="4" w:space="0" w:color="000000" w:themeColor="text1"/>
            </w:tcBorders>
          </w:tcPr>
          <w:p w:rsidR="00E36D7A" w:rsidRPr="005E4FCB" w:rsidRDefault="00E36D7A" w:rsidP="00D62762">
            <w:pPr>
              <w:tabs>
                <w:tab w:val="left" w:pos="3668"/>
              </w:tabs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</w:tbl>
    <w:p w:rsidR="00E36D7A" w:rsidRPr="005E4FCB" w:rsidRDefault="00E36D7A" w:rsidP="00E36D7A">
      <w:pPr>
        <w:tabs>
          <w:tab w:val="left" w:pos="3668"/>
        </w:tabs>
        <w:ind w:right="-1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Указываются краткие сведения из определений решений судов различных инстанций (в случае их наличия) по судебным процессам, имеющим существенное значение для эмитента, где эмитент выступал истцом либо ответчиком с указанием номера, даты дела, сроков урегулирования спора.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bookmarkStart w:id="23" w:name="_Toc90649465"/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6. ОБЗОР ОТРАСЛИ И КОНКУРЕНТНЫЕ ПОЗИЦИИ ЭМИТЕНТА</w:t>
      </w:r>
      <w:bookmarkEnd w:id="23"/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Приводится описание основных тенденций отрасли/(-ей), в которо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й(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-ых) функционирует бизнес компании. Указываются основные нормативно-регулирующие акты - положения, рекомендации, законы и пр., под воздействием которых рынок изменился либо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изменится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в краткосрочной/среднесрочной перспективе.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Рекомендуется рассмотреть факторы внешний среды, которые могут оказать существенное влияние на бизнес эмитента.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Провести анализ конкурентной среды, перечислив основных конкурентов по сегментам бизнеса либо отрасли эмитента, в целом. Провести дополнительный стратегический анализ по одной из методик (</w:t>
      </w:r>
      <w:r w:rsidRPr="005E4FCB">
        <w:rPr>
          <w:rFonts w:ascii="Arial" w:hAnsi="Arial" w:cs="Arial"/>
          <w:sz w:val="20"/>
          <w:szCs w:val="20"/>
        </w:rPr>
        <w:t>SWOT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-анализ, </w:t>
      </w:r>
      <w:r w:rsidRPr="005E4FCB">
        <w:rPr>
          <w:rFonts w:ascii="Arial" w:hAnsi="Arial" w:cs="Arial"/>
          <w:sz w:val="20"/>
          <w:szCs w:val="20"/>
        </w:rPr>
        <w:t>Porter</w:t>
      </w:r>
      <w:r w:rsidRPr="005E4FCB">
        <w:rPr>
          <w:rFonts w:ascii="Arial" w:hAnsi="Arial" w:cs="Arial"/>
          <w:sz w:val="20"/>
          <w:szCs w:val="20"/>
          <w:lang w:val="ru-RU"/>
        </w:rPr>
        <w:t>’</w:t>
      </w:r>
      <w:r w:rsidRPr="005E4FCB">
        <w:rPr>
          <w:rFonts w:ascii="Arial" w:hAnsi="Arial" w:cs="Arial"/>
          <w:sz w:val="20"/>
          <w:szCs w:val="20"/>
        </w:rPr>
        <w:t>s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анализ либо анализ по усмотрению эмитента).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В основу анализа включаются конкурентные преимущества стратегии эмитента.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bookmarkStart w:id="24" w:name="_Toc90649466"/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7. ТЕКУЩЕЕ ФИНАНСОВОЕ СОСТОЯНИЕ ЭМИТЕНТА</w:t>
      </w:r>
      <w:bookmarkEnd w:id="24"/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Приводится анализ финансово-хозяйственной деятельности и основных финансовых показателей эмитента с учетом отраслевых особенностей и ведения бухгалтерской (финансовой) отчетности на территории в соответствии с законодательством Российской Федерации.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По усмотрению эмитента может быть приведен анализ бухгалтерского баланса, включающий: общую оценку структуры активов и их источников, анализ ликвидности баланса, анализ платежеспособности, финансовой устойчивости (потенциальной вероятности банкротства). Анализ отчета о финансовых результатах может включать в себя: анализ динамики показателей деловой активности, анализ влияния различных факторов на прибыль, анализ рентабельности.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Анализ отчета об изменении капитала как оценка источников финансирования активов и их состав, динамика собственного капитала. Анализ отчета о движении денежных средств.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В случае ведения компанией-эмитентом отчетности в соответствии с МСФО предлагается рассмотреть основные показатели следующих категорий: 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 - </w:t>
      </w:r>
      <w:r w:rsidRPr="005E4FCB">
        <w:rPr>
          <w:rFonts w:ascii="Arial" w:hAnsi="Arial" w:cs="Arial"/>
          <w:sz w:val="20"/>
          <w:szCs w:val="20"/>
        </w:rPr>
        <w:t>Activity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Ratios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(</w:t>
      </w:r>
      <w:r w:rsidRPr="005E4FCB">
        <w:rPr>
          <w:rFonts w:ascii="Arial" w:hAnsi="Arial" w:cs="Arial"/>
          <w:sz w:val="20"/>
          <w:szCs w:val="20"/>
        </w:rPr>
        <w:t>Receivables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turnover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; </w:t>
      </w:r>
      <w:r w:rsidRPr="005E4FCB">
        <w:rPr>
          <w:rFonts w:ascii="Arial" w:hAnsi="Arial" w:cs="Arial"/>
          <w:sz w:val="20"/>
          <w:szCs w:val="20"/>
        </w:rPr>
        <w:t>Payables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turnover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; </w:t>
      </w:r>
      <w:r w:rsidRPr="005E4FCB">
        <w:rPr>
          <w:rFonts w:ascii="Arial" w:hAnsi="Arial" w:cs="Arial"/>
          <w:sz w:val="20"/>
          <w:szCs w:val="20"/>
        </w:rPr>
        <w:t>Working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capital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turnover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; </w:t>
      </w:r>
      <w:r w:rsidRPr="005E4FCB">
        <w:rPr>
          <w:rFonts w:ascii="Arial" w:hAnsi="Arial" w:cs="Arial"/>
          <w:sz w:val="20"/>
          <w:szCs w:val="20"/>
        </w:rPr>
        <w:t>Total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asset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turnover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and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5E4FCB">
        <w:rPr>
          <w:rFonts w:ascii="Arial" w:hAnsi="Arial" w:cs="Arial"/>
          <w:sz w:val="20"/>
          <w:szCs w:val="20"/>
        </w:rPr>
        <w:t>etc</w:t>
      </w:r>
      <w:proofErr w:type="spellEnd"/>
      <w:r w:rsidRPr="005E4FCB">
        <w:rPr>
          <w:rFonts w:ascii="Arial" w:hAnsi="Arial" w:cs="Arial"/>
          <w:sz w:val="20"/>
          <w:szCs w:val="20"/>
          <w:lang w:val="ru-RU"/>
        </w:rPr>
        <w:t xml:space="preserve">.) –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индикаторы, показывающие насколько эффективно компания справляется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с ежедневными задачами, управляет дебиторской задолженностью и запасами;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 - </w:t>
      </w:r>
      <w:r w:rsidRPr="005E4FCB">
        <w:rPr>
          <w:rFonts w:ascii="Arial" w:hAnsi="Arial" w:cs="Arial"/>
          <w:sz w:val="20"/>
          <w:szCs w:val="20"/>
        </w:rPr>
        <w:t>Liquidity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Ratios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(</w:t>
      </w:r>
      <w:r w:rsidRPr="005E4FCB">
        <w:rPr>
          <w:rFonts w:ascii="Arial" w:hAnsi="Arial" w:cs="Arial"/>
          <w:sz w:val="20"/>
          <w:szCs w:val="20"/>
        </w:rPr>
        <w:t>Current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ratio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; </w:t>
      </w:r>
      <w:r w:rsidRPr="005E4FCB">
        <w:rPr>
          <w:rFonts w:ascii="Arial" w:hAnsi="Arial" w:cs="Arial"/>
          <w:sz w:val="20"/>
          <w:szCs w:val="20"/>
        </w:rPr>
        <w:t>Quick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ratio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;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С</w:t>
      </w:r>
      <w:proofErr w:type="gramEnd"/>
      <w:r w:rsidRPr="005E4FCB">
        <w:rPr>
          <w:rFonts w:ascii="Arial" w:hAnsi="Arial" w:cs="Arial"/>
          <w:sz w:val="20"/>
          <w:szCs w:val="20"/>
        </w:rPr>
        <w:t>ash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ratio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and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5E4FCB">
        <w:rPr>
          <w:rFonts w:ascii="Arial" w:hAnsi="Arial" w:cs="Arial"/>
          <w:sz w:val="20"/>
          <w:szCs w:val="20"/>
        </w:rPr>
        <w:t>etc</w:t>
      </w:r>
      <w:proofErr w:type="spellEnd"/>
      <w:r w:rsidRPr="005E4FCB">
        <w:rPr>
          <w:rFonts w:ascii="Arial" w:hAnsi="Arial" w:cs="Arial"/>
          <w:sz w:val="20"/>
          <w:szCs w:val="20"/>
          <w:lang w:val="ru-RU"/>
        </w:rPr>
        <w:t>.) – способность эмитента контролировать краткосрочные обязательства;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 - </w:t>
      </w:r>
      <w:r w:rsidRPr="005E4FCB">
        <w:rPr>
          <w:rFonts w:ascii="Arial" w:hAnsi="Arial" w:cs="Arial"/>
          <w:sz w:val="20"/>
          <w:szCs w:val="20"/>
        </w:rPr>
        <w:t>Solvency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Ratios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(</w:t>
      </w:r>
      <w:r w:rsidRPr="005E4FCB">
        <w:rPr>
          <w:rFonts w:ascii="Arial" w:hAnsi="Arial" w:cs="Arial"/>
          <w:sz w:val="20"/>
          <w:szCs w:val="20"/>
        </w:rPr>
        <w:t>Debt</w:t>
      </w:r>
      <w:r w:rsidRPr="005E4FCB">
        <w:rPr>
          <w:rFonts w:ascii="Arial" w:hAnsi="Arial" w:cs="Arial"/>
          <w:sz w:val="20"/>
          <w:szCs w:val="20"/>
          <w:lang w:val="ru-RU"/>
        </w:rPr>
        <w:t>-</w:t>
      </w:r>
      <w:r w:rsidRPr="005E4FCB">
        <w:rPr>
          <w:rFonts w:ascii="Arial" w:hAnsi="Arial" w:cs="Arial"/>
          <w:sz w:val="20"/>
          <w:szCs w:val="20"/>
        </w:rPr>
        <w:t>to</w:t>
      </w:r>
      <w:r w:rsidRPr="005E4FCB">
        <w:rPr>
          <w:rFonts w:ascii="Arial" w:hAnsi="Arial" w:cs="Arial"/>
          <w:sz w:val="20"/>
          <w:szCs w:val="20"/>
          <w:lang w:val="ru-RU"/>
        </w:rPr>
        <w:t>-</w:t>
      </w:r>
      <w:r w:rsidRPr="005E4FCB">
        <w:rPr>
          <w:rFonts w:ascii="Arial" w:hAnsi="Arial" w:cs="Arial"/>
          <w:sz w:val="20"/>
          <w:szCs w:val="20"/>
        </w:rPr>
        <w:t>assets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ratio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; </w:t>
      </w:r>
      <w:r w:rsidRPr="005E4FCB">
        <w:rPr>
          <w:rFonts w:ascii="Arial" w:hAnsi="Arial" w:cs="Arial"/>
          <w:sz w:val="20"/>
          <w:szCs w:val="20"/>
        </w:rPr>
        <w:t>Debt</w:t>
      </w:r>
      <w:r w:rsidRPr="005E4FCB">
        <w:rPr>
          <w:rFonts w:ascii="Arial" w:hAnsi="Arial" w:cs="Arial"/>
          <w:sz w:val="20"/>
          <w:szCs w:val="20"/>
          <w:lang w:val="ru-RU"/>
        </w:rPr>
        <w:t>-</w:t>
      </w:r>
      <w:r w:rsidRPr="005E4FCB">
        <w:rPr>
          <w:rFonts w:ascii="Arial" w:hAnsi="Arial" w:cs="Arial"/>
          <w:sz w:val="20"/>
          <w:szCs w:val="20"/>
        </w:rPr>
        <w:t>to</w:t>
      </w:r>
      <w:r w:rsidRPr="005E4FCB">
        <w:rPr>
          <w:rFonts w:ascii="Arial" w:hAnsi="Arial" w:cs="Arial"/>
          <w:sz w:val="20"/>
          <w:szCs w:val="20"/>
          <w:lang w:val="ru-RU"/>
        </w:rPr>
        <w:t>-</w:t>
      </w:r>
      <w:r w:rsidRPr="005E4FCB">
        <w:rPr>
          <w:rFonts w:ascii="Arial" w:hAnsi="Arial" w:cs="Arial"/>
          <w:sz w:val="20"/>
          <w:szCs w:val="20"/>
        </w:rPr>
        <w:t>capital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ratio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; </w:t>
      </w:r>
      <w:r w:rsidRPr="005E4FCB">
        <w:rPr>
          <w:rFonts w:ascii="Arial" w:hAnsi="Arial" w:cs="Arial"/>
          <w:sz w:val="20"/>
          <w:szCs w:val="20"/>
        </w:rPr>
        <w:t>Financial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leverage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ratio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) – способность эмитента контролировать долгосрочные обязательства,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финансовый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5E4FCB">
        <w:rPr>
          <w:rFonts w:ascii="Arial" w:hAnsi="Arial" w:cs="Arial"/>
          <w:sz w:val="20"/>
          <w:szCs w:val="20"/>
          <w:lang w:val="ru-RU"/>
        </w:rPr>
        <w:t>леверидж</w:t>
      </w:r>
      <w:proofErr w:type="spellEnd"/>
      <w:r w:rsidRPr="005E4FCB">
        <w:rPr>
          <w:rFonts w:ascii="Arial" w:hAnsi="Arial" w:cs="Arial"/>
          <w:sz w:val="20"/>
          <w:szCs w:val="20"/>
          <w:lang w:val="ru-RU"/>
        </w:rPr>
        <w:t>;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 xml:space="preserve">- Profitability Ratios (Operating profit margin; Net profit margin; Operating ROA; ROE; Return on total capital) – </w:t>
      </w:r>
      <w:proofErr w:type="spellStart"/>
      <w:r w:rsidRPr="005E4FCB">
        <w:rPr>
          <w:rFonts w:ascii="Arial" w:hAnsi="Arial" w:cs="Arial"/>
          <w:sz w:val="20"/>
          <w:szCs w:val="20"/>
        </w:rPr>
        <w:t>способность</w:t>
      </w:r>
      <w:proofErr w:type="spellEnd"/>
      <w:r w:rsidRPr="005E4F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sz w:val="20"/>
          <w:szCs w:val="20"/>
        </w:rPr>
        <w:t>эмитента</w:t>
      </w:r>
      <w:proofErr w:type="spellEnd"/>
      <w:r w:rsidRPr="005E4F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sz w:val="20"/>
          <w:szCs w:val="20"/>
        </w:rPr>
        <w:t>создавать</w:t>
      </w:r>
      <w:proofErr w:type="spellEnd"/>
      <w:r w:rsidRPr="005E4F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sz w:val="20"/>
          <w:szCs w:val="20"/>
        </w:rPr>
        <w:t>прибыль</w:t>
      </w:r>
      <w:proofErr w:type="spellEnd"/>
      <w:r w:rsidRPr="005E4F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sz w:val="20"/>
          <w:szCs w:val="20"/>
        </w:rPr>
        <w:t>из</w:t>
      </w:r>
      <w:proofErr w:type="spellEnd"/>
      <w:r w:rsidRPr="005E4F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sz w:val="20"/>
          <w:szCs w:val="20"/>
        </w:rPr>
        <w:t>своих</w:t>
      </w:r>
      <w:proofErr w:type="spellEnd"/>
      <w:r w:rsidRPr="005E4F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sz w:val="20"/>
          <w:szCs w:val="20"/>
        </w:rPr>
        <w:t>источников</w:t>
      </w:r>
      <w:proofErr w:type="spellEnd"/>
      <w:r w:rsidRPr="005E4FC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E4FCB">
        <w:rPr>
          <w:rFonts w:ascii="Arial" w:hAnsi="Arial" w:cs="Arial"/>
          <w:sz w:val="20"/>
          <w:szCs w:val="20"/>
        </w:rPr>
        <w:t>активов</w:t>
      </w:r>
      <w:proofErr w:type="spellEnd"/>
      <w:r w:rsidRPr="005E4F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sz w:val="20"/>
          <w:szCs w:val="20"/>
        </w:rPr>
        <w:t>компании</w:t>
      </w:r>
      <w:proofErr w:type="spellEnd"/>
      <w:r w:rsidRPr="005E4FCB">
        <w:rPr>
          <w:rFonts w:ascii="Arial" w:hAnsi="Arial" w:cs="Arial"/>
          <w:sz w:val="20"/>
          <w:szCs w:val="20"/>
        </w:rPr>
        <w:t>).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</w:rPr>
      </w:pP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Дополнительно может быть указана следующая информация: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- Валовая прибыль, % от выручки; прибыль от продаж, % от выручки (прибыль до налогообложения); чистая прибыль, % от выручки по РСБУ;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</w:rPr>
      </w:pPr>
      <w:r w:rsidRPr="005E4FCB">
        <w:rPr>
          <w:rFonts w:ascii="Arial" w:hAnsi="Arial" w:cs="Arial"/>
          <w:sz w:val="20"/>
          <w:szCs w:val="20"/>
          <w:lang w:val="ru-RU"/>
        </w:rPr>
        <w:lastRenderedPageBreak/>
        <w:t xml:space="preserve"> </w:t>
      </w:r>
      <w:r w:rsidRPr="005E4FCB">
        <w:rPr>
          <w:rFonts w:ascii="Arial" w:hAnsi="Arial" w:cs="Arial"/>
          <w:sz w:val="20"/>
          <w:szCs w:val="20"/>
        </w:rPr>
        <w:t>- Gross margin, %; EBITDA margin</w:t>
      </w:r>
      <w:proofErr w:type="gramStart"/>
      <w:r w:rsidRPr="005E4FCB">
        <w:rPr>
          <w:rFonts w:ascii="Arial" w:hAnsi="Arial" w:cs="Arial"/>
          <w:sz w:val="20"/>
          <w:szCs w:val="20"/>
        </w:rPr>
        <w:t>,%</w:t>
      </w:r>
      <w:proofErr w:type="gramEnd"/>
      <w:r w:rsidRPr="005E4FCB">
        <w:rPr>
          <w:rFonts w:ascii="Arial" w:hAnsi="Arial" w:cs="Arial"/>
          <w:sz w:val="20"/>
          <w:szCs w:val="20"/>
        </w:rPr>
        <w:t xml:space="preserve">; EBIT margin,%; Net income, % </w:t>
      </w:r>
      <w:proofErr w:type="spellStart"/>
      <w:r w:rsidRPr="005E4FCB">
        <w:rPr>
          <w:rFonts w:ascii="Arial" w:hAnsi="Arial" w:cs="Arial"/>
          <w:sz w:val="20"/>
          <w:szCs w:val="20"/>
        </w:rPr>
        <w:t>по</w:t>
      </w:r>
      <w:proofErr w:type="spellEnd"/>
      <w:r w:rsidRPr="005E4FCB">
        <w:rPr>
          <w:rFonts w:ascii="Arial" w:hAnsi="Arial" w:cs="Arial"/>
          <w:sz w:val="20"/>
          <w:szCs w:val="20"/>
        </w:rPr>
        <w:t xml:space="preserve"> МСФО.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</w:rPr>
        <w:t xml:space="preserve"> </w:t>
      </w:r>
      <w:r w:rsidRPr="005E4FCB">
        <w:rPr>
          <w:rFonts w:ascii="Arial" w:hAnsi="Arial" w:cs="Arial"/>
          <w:sz w:val="20"/>
          <w:szCs w:val="20"/>
          <w:lang w:val="ru-RU"/>
        </w:rPr>
        <w:t>- Амортизация по РСБУ и МСФО, указать срок использования основных средств.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- Подверженность компании валютным рискам (доля валютной выручки и себестоимости), при наличии.</w:t>
      </w:r>
    </w:p>
    <w:p w:rsidR="00E36D7A" w:rsidRPr="005E4FCB" w:rsidRDefault="00E36D7A" w:rsidP="00E36D7A">
      <w:pPr>
        <w:tabs>
          <w:tab w:val="left" w:pos="3668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Указывается адрес страницы в сети Интернет, где размещена бухгалтерская (финансовая) отчетность эмитента, на основе которой были рассчитаны приведенные показатели.</w:t>
      </w:r>
    </w:p>
    <w:p w:rsidR="00E36D7A" w:rsidRPr="005E4FCB" w:rsidRDefault="00E36D7A" w:rsidP="00E36D7A">
      <w:pPr>
        <w:tabs>
          <w:tab w:val="left" w:pos="3668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Показатели в динамике необходимо представить за последние 3 года деятельности эмитента (при наличии) и за текущий год (3мес., 6мес., 9мес.). Представить краткое обоснование темпов прироста показателей, методику расчетов.</w:t>
      </w:r>
    </w:p>
    <w:p w:rsidR="00E36D7A" w:rsidRPr="005E4FCB" w:rsidRDefault="00E36D7A" w:rsidP="00E36D7A">
      <w:pPr>
        <w:tabs>
          <w:tab w:val="left" w:pos="3668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При отсутствии финансовой отчетности у эмитента на момент подготовки проекта инвестиционного меморандума, требования раздела 7 применяются к лицу, предоставившему обеспечение по облигациям (при его наличии).</w:t>
      </w:r>
    </w:p>
    <w:p w:rsidR="00E36D7A" w:rsidRPr="005E4FCB" w:rsidRDefault="00E36D7A" w:rsidP="00E36D7A">
      <w:pPr>
        <w:tabs>
          <w:tab w:val="left" w:pos="3668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bookmarkStart w:id="25" w:name="_Toc90649467"/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8. СВЕДЕНИЯ О РАНЕЕ РАЗМЕЩЕННЫХ ВЫПУСКАХ</w:t>
      </w:r>
      <w:bookmarkEnd w:id="25"/>
    </w:p>
    <w:p w:rsidR="00E36D7A" w:rsidRPr="005E4FCB" w:rsidRDefault="00E36D7A" w:rsidP="00E36D7A">
      <w:pPr>
        <w:tabs>
          <w:tab w:val="left" w:pos="3668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Указываются сведения о размещенных ранее выпусках, с указанием вида, категории (типа), серии для облигаций и иных идентификационных признаков ценных бумаг, с указанием информации об использовании привлеченных средств. Также приводится информация о выпусках ценных бумаг, погашенных в течение последних 3 лет (при наличии), фактах неисполнения обязательств по выплатам (при наличии).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bookmarkStart w:id="26" w:name="_Toc90649468"/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9. СЦЕНАРИИ РАЗВИТИЯ ЭМИТЕНТА В СООТВЕТСТВИИ СО СТРАТЕГИЕЙ РАЗВИТИЯ / ФИНАНСОВАЯ МОДЕЛЬ / БИЗНЕС-ПЛАН</w:t>
      </w:r>
      <w:bookmarkEnd w:id="26"/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Приводится информация о будуще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м(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>-их) сценарии(-</w:t>
      </w:r>
      <w:proofErr w:type="spellStart"/>
      <w:r w:rsidRPr="005E4FCB">
        <w:rPr>
          <w:rFonts w:ascii="Arial" w:hAnsi="Arial" w:cs="Arial"/>
          <w:sz w:val="20"/>
          <w:szCs w:val="20"/>
          <w:lang w:val="ru-RU"/>
        </w:rPr>
        <w:t>ях</w:t>
      </w:r>
      <w:proofErr w:type="spellEnd"/>
      <w:r w:rsidRPr="005E4FCB">
        <w:rPr>
          <w:rFonts w:ascii="Arial" w:hAnsi="Arial" w:cs="Arial"/>
          <w:sz w:val="20"/>
          <w:szCs w:val="20"/>
          <w:lang w:val="ru-RU"/>
        </w:rPr>
        <w:t>) развития бизнеса эмитента,  проанализированная как количественно, так и качественно. В соответствии с изложенной стратегией, рекомендуется подготовить финансовую модель и (или) бизнес-план.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Комплексный бизнес-план, описывающий реализацию продукции/оказание услуг, целесообразно представлять с учетом конъюнктуры рынка, стратегии развития компании.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Финансовая модель эмитента может быть представлена одним из трех подходов: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 - Методом дисконтированных денежных потоков (</w:t>
      </w:r>
      <w:r w:rsidRPr="005E4FCB">
        <w:rPr>
          <w:rFonts w:ascii="Arial" w:hAnsi="Arial" w:cs="Arial"/>
          <w:sz w:val="20"/>
          <w:szCs w:val="20"/>
        </w:rPr>
        <w:t>discounted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cash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>flow</w:t>
      </w:r>
      <w:r w:rsidRPr="005E4FCB">
        <w:rPr>
          <w:rFonts w:ascii="Arial" w:hAnsi="Arial" w:cs="Arial"/>
          <w:sz w:val="20"/>
          <w:szCs w:val="20"/>
          <w:lang w:val="ru-RU"/>
        </w:rPr>
        <w:t>);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5E4FCB">
        <w:rPr>
          <w:rFonts w:ascii="Arial" w:hAnsi="Arial" w:cs="Arial"/>
          <w:sz w:val="20"/>
          <w:szCs w:val="20"/>
        </w:rPr>
        <w:t>Сравнительная</w:t>
      </w:r>
      <w:proofErr w:type="spellEnd"/>
      <w:r w:rsidRPr="005E4F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sz w:val="20"/>
          <w:szCs w:val="20"/>
        </w:rPr>
        <w:t>оценка</w:t>
      </w:r>
      <w:proofErr w:type="spellEnd"/>
      <w:r w:rsidRPr="005E4FCB">
        <w:rPr>
          <w:rFonts w:ascii="Arial" w:hAnsi="Arial" w:cs="Arial"/>
          <w:sz w:val="20"/>
          <w:szCs w:val="20"/>
        </w:rPr>
        <w:t xml:space="preserve"> (relative/multiple valuation – EV/EBITDA; EV/EBIT; P/E; EV/Sales);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</w:rPr>
        <w:t xml:space="preserve"> </w:t>
      </w:r>
      <w:r w:rsidRPr="005E4FCB">
        <w:rPr>
          <w:rFonts w:ascii="Arial" w:hAnsi="Arial" w:cs="Arial"/>
          <w:sz w:val="20"/>
          <w:szCs w:val="20"/>
          <w:lang w:val="ru-RU"/>
        </w:rPr>
        <w:t>- Оценка условных требований (использование модели ценообразования опционов для измерения стоимости активов, имеющих характеристику опциона).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При подготовке финансовой модели рекомендуется применять показатели:</w:t>
      </w:r>
    </w:p>
    <w:p w:rsidR="00E36D7A" w:rsidRPr="005E4FCB" w:rsidRDefault="00E36D7A" w:rsidP="00E36D7A">
      <w:pPr>
        <w:pStyle w:val="a3"/>
        <w:numPr>
          <w:ilvl w:val="0"/>
          <w:numId w:val="2"/>
        </w:numPr>
        <w:tabs>
          <w:tab w:val="left" w:pos="366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E4FCB">
        <w:rPr>
          <w:rFonts w:ascii="Arial" w:hAnsi="Arial" w:cs="Arial"/>
          <w:sz w:val="20"/>
          <w:szCs w:val="20"/>
        </w:rPr>
        <w:t>свободного денежного потока компании (FCFF).</w:t>
      </w:r>
    </w:p>
    <w:p w:rsidR="00E36D7A" w:rsidRPr="005E4FCB" w:rsidRDefault="00E36D7A" w:rsidP="00E36D7A">
      <w:pPr>
        <w:tabs>
          <w:tab w:val="left" w:pos="3668"/>
        </w:tabs>
        <w:ind w:left="709"/>
        <w:jc w:val="both"/>
        <w:rPr>
          <w:rFonts w:ascii="Arial" w:hAnsi="Arial" w:cs="Arial"/>
          <w:i/>
          <w:sz w:val="20"/>
          <w:szCs w:val="20"/>
          <w:lang w:val="ru-RU"/>
        </w:rPr>
      </w:pPr>
      <w:r w:rsidRPr="005E4FCB">
        <w:rPr>
          <w:rFonts w:ascii="Arial" w:hAnsi="Arial" w:cs="Arial"/>
          <w:i/>
          <w:sz w:val="20"/>
          <w:szCs w:val="20"/>
          <w:lang w:val="ru-RU"/>
        </w:rPr>
        <w:t>Свободный денежный поток фирмы (</w:t>
      </w:r>
      <w:r w:rsidRPr="005E4FCB">
        <w:rPr>
          <w:rFonts w:ascii="Arial" w:hAnsi="Arial" w:cs="Arial"/>
          <w:i/>
          <w:sz w:val="20"/>
          <w:szCs w:val="20"/>
        </w:rPr>
        <w:t>Free</w:t>
      </w:r>
      <w:r w:rsidRPr="005E4FCB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i/>
          <w:sz w:val="20"/>
          <w:szCs w:val="20"/>
        </w:rPr>
        <w:t>Cash</w:t>
      </w:r>
      <w:r w:rsidRPr="005E4FCB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i/>
          <w:sz w:val="20"/>
          <w:szCs w:val="20"/>
        </w:rPr>
        <w:t>Flow</w:t>
      </w:r>
      <w:r w:rsidRPr="005E4FCB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i/>
          <w:sz w:val="20"/>
          <w:szCs w:val="20"/>
        </w:rPr>
        <w:t>to</w:t>
      </w:r>
      <w:r w:rsidRPr="005E4FCB">
        <w:rPr>
          <w:rFonts w:ascii="Arial" w:hAnsi="Arial" w:cs="Arial"/>
          <w:i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i/>
          <w:sz w:val="20"/>
          <w:szCs w:val="20"/>
        </w:rPr>
        <w:t>Firm</w:t>
      </w:r>
      <w:r w:rsidRPr="005E4FCB">
        <w:rPr>
          <w:rFonts w:ascii="Arial" w:hAnsi="Arial" w:cs="Arial"/>
          <w:i/>
          <w:sz w:val="20"/>
          <w:szCs w:val="20"/>
          <w:lang w:val="ru-RU"/>
        </w:rPr>
        <w:t xml:space="preserve">, </w:t>
      </w:r>
      <w:r w:rsidRPr="005E4FCB">
        <w:rPr>
          <w:rFonts w:ascii="Arial" w:hAnsi="Arial" w:cs="Arial"/>
          <w:i/>
          <w:sz w:val="20"/>
          <w:szCs w:val="20"/>
        </w:rPr>
        <w:t>FCFF</w:t>
      </w:r>
      <w:r w:rsidRPr="005E4FCB">
        <w:rPr>
          <w:rFonts w:ascii="Arial" w:hAnsi="Arial" w:cs="Arial"/>
          <w:i/>
          <w:sz w:val="20"/>
          <w:szCs w:val="20"/>
          <w:lang w:val="ru-RU"/>
        </w:rPr>
        <w:t xml:space="preserve">, </w:t>
      </w:r>
      <w:r w:rsidRPr="005E4FCB">
        <w:rPr>
          <w:rFonts w:ascii="Arial" w:hAnsi="Arial" w:cs="Arial"/>
          <w:i/>
          <w:sz w:val="20"/>
          <w:szCs w:val="20"/>
        </w:rPr>
        <w:t>FCF</w:t>
      </w:r>
      <w:r w:rsidRPr="005E4FCB">
        <w:rPr>
          <w:rFonts w:ascii="Arial" w:hAnsi="Arial" w:cs="Arial"/>
          <w:i/>
          <w:sz w:val="20"/>
          <w:szCs w:val="20"/>
          <w:lang w:val="ru-RU"/>
        </w:rPr>
        <w:t>) – денежный поток компании от ее операционной деятельности за исключением инвестиций в основной капитал.</w:t>
      </w:r>
    </w:p>
    <w:p w:rsidR="00E36D7A" w:rsidRPr="005E4FCB" w:rsidRDefault="00E36D7A" w:rsidP="00E36D7A">
      <w:pPr>
        <w:tabs>
          <w:tab w:val="left" w:pos="3668"/>
        </w:tabs>
        <w:ind w:left="709"/>
        <w:jc w:val="both"/>
        <w:rPr>
          <w:rFonts w:ascii="Arial" w:hAnsi="Arial" w:cs="Arial"/>
          <w:i/>
          <w:sz w:val="20"/>
          <w:szCs w:val="20"/>
          <w:lang w:val="ru-RU"/>
        </w:rPr>
      </w:pPr>
      <w:r w:rsidRPr="005E4FCB">
        <w:rPr>
          <w:rFonts w:ascii="Arial" w:hAnsi="Arial" w:cs="Arial"/>
          <w:i/>
          <w:sz w:val="20"/>
          <w:szCs w:val="20"/>
          <w:lang w:val="ru-RU"/>
        </w:rPr>
        <w:t>Данный вид денежного потока показывает остаток денежных средств у компании после вложения в капитальные активы - свободный денежный поток от активов.</w:t>
      </w:r>
    </w:p>
    <w:p w:rsidR="00E36D7A" w:rsidRPr="005E4FCB" w:rsidRDefault="00E36D7A" w:rsidP="00E36D7A">
      <w:pPr>
        <w:pStyle w:val="a3"/>
        <w:numPr>
          <w:ilvl w:val="0"/>
          <w:numId w:val="2"/>
        </w:numPr>
        <w:tabs>
          <w:tab w:val="left" w:pos="3668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E4FCB">
        <w:rPr>
          <w:rFonts w:ascii="Arial" w:hAnsi="Arial" w:cs="Arial"/>
          <w:i/>
          <w:sz w:val="20"/>
          <w:szCs w:val="20"/>
        </w:rPr>
        <w:t>свободного денежного потока на собственный капитал (</w:t>
      </w:r>
      <w:proofErr w:type="spellStart"/>
      <w:r w:rsidRPr="005E4FCB">
        <w:rPr>
          <w:rFonts w:ascii="Arial" w:hAnsi="Arial" w:cs="Arial"/>
          <w:i/>
          <w:sz w:val="20"/>
          <w:szCs w:val="20"/>
        </w:rPr>
        <w:t>Free</w:t>
      </w:r>
      <w:proofErr w:type="spellEnd"/>
      <w:r w:rsidRPr="005E4FC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i/>
          <w:sz w:val="20"/>
          <w:szCs w:val="20"/>
        </w:rPr>
        <w:t>Cash</w:t>
      </w:r>
      <w:proofErr w:type="spellEnd"/>
      <w:r w:rsidRPr="005E4FC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i/>
          <w:sz w:val="20"/>
          <w:szCs w:val="20"/>
        </w:rPr>
        <w:t>Flow</w:t>
      </w:r>
      <w:proofErr w:type="spellEnd"/>
      <w:r w:rsidRPr="005E4FC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i/>
          <w:sz w:val="20"/>
          <w:szCs w:val="20"/>
        </w:rPr>
        <w:t>to</w:t>
      </w:r>
      <w:proofErr w:type="spellEnd"/>
      <w:r w:rsidRPr="005E4FC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i/>
          <w:sz w:val="20"/>
          <w:szCs w:val="20"/>
        </w:rPr>
        <w:t>Equity</w:t>
      </w:r>
      <w:proofErr w:type="spellEnd"/>
      <w:r w:rsidRPr="005E4FCB">
        <w:rPr>
          <w:rFonts w:ascii="Arial" w:hAnsi="Arial" w:cs="Arial"/>
          <w:i/>
          <w:sz w:val="20"/>
          <w:szCs w:val="20"/>
        </w:rPr>
        <w:t>, FCFE) –  денежный поток компании от собственного капитала.</w:t>
      </w:r>
    </w:p>
    <w:p w:rsidR="00E36D7A" w:rsidRPr="005E4FCB" w:rsidRDefault="00E36D7A" w:rsidP="00E36D7A">
      <w:pPr>
        <w:tabs>
          <w:tab w:val="left" w:pos="3668"/>
        </w:tabs>
        <w:spacing w:before="120" w:after="120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Свободный денежный поток предлагается привести с учетом факторов внутренней и внешней среды, комплексной экспертизы предпосылок и допущений, в соответствии со стратегией компании. Приводится информация о направлении, объеме реализации продукции/услуг и росте потенциальной выручки.</w:t>
      </w:r>
    </w:p>
    <w:p w:rsidR="00E36D7A" w:rsidRPr="005E4FCB" w:rsidRDefault="00E36D7A" w:rsidP="00E36D7A">
      <w:pPr>
        <w:tabs>
          <w:tab w:val="left" w:pos="3668"/>
        </w:tabs>
        <w:spacing w:before="120" w:after="120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Бизнес-план/финансовая модель также должны быть пересмотрены на ежегодной основе и содержать скорректированные данные с учетом вновь возникших обстоятельств/параметров или факторов, влияющих на денежные потоки.</w:t>
      </w:r>
    </w:p>
    <w:p w:rsidR="00E36D7A" w:rsidRPr="005E4FCB" w:rsidRDefault="00E36D7A" w:rsidP="00E36D7A">
      <w:pPr>
        <w:tabs>
          <w:tab w:val="left" w:pos="3668"/>
        </w:tabs>
        <w:rPr>
          <w:rFonts w:ascii="Arial" w:hAnsi="Arial" w:cs="Arial"/>
          <w:sz w:val="20"/>
          <w:szCs w:val="20"/>
          <w:lang w:val="ru-RU"/>
        </w:rPr>
      </w:pPr>
      <w:bookmarkStart w:id="27" w:name="_Toc90649469"/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10. ИНВЕСТИЦИОННЫЕ РИСКИ</w:t>
      </w:r>
      <w:bookmarkEnd w:id="27"/>
    </w:p>
    <w:p w:rsidR="00E36D7A" w:rsidRPr="005E4FCB" w:rsidRDefault="00E36D7A" w:rsidP="00E36D7A">
      <w:pPr>
        <w:tabs>
          <w:tab w:val="left" w:pos="3668"/>
        </w:tabs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Приводятся основные риски с кратким описанием, способные повлиять на реализацию стратегии эмитента и приобретение его ценных бумаг.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По усмотрению эмитента к ним могут быть отнесены: отраслевые риски, риски рынка, финансовые риски, правовые риски, </w:t>
      </w:r>
      <w:proofErr w:type="spellStart"/>
      <w:r w:rsidRPr="005E4FCB">
        <w:rPr>
          <w:rFonts w:ascii="Arial" w:hAnsi="Arial" w:cs="Arial"/>
          <w:sz w:val="20"/>
          <w:szCs w:val="20"/>
          <w:lang w:val="ru-RU"/>
        </w:rPr>
        <w:t>репутационные</w:t>
      </w:r>
      <w:proofErr w:type="spellEnd"/>
      <w:r w:rsidRPr="005E4FCB">
        <w:rPr>
          <w:rFonts w:ascii="Arial" w:hAnsi="Arial" w:cs="Arial"/>
          <w:sz w:val="20"/>
          <w:szCs w:val="20"/>
          <w:lang w:val="ru-RU"/>
        </w:rPr>
        <w:t xml:space="preserve"> риски, иные риски. Может быть подготовлена карта рисков и способы </w:t>
      </w:r>
      <w:r w:rsidRPr="005E4FCB">
        <w:rPr>
          <w:rFonts w:ascii="Arial" w:hAnsi="Arial" w:cs="Arial"/>
          <w:sz w:val="20"/>
          <w:szCs w:val="20"/>
          <w:lang w:val="ru-RU"/>
        </w:rPr>
        <w:lastRenderedPageBreak/>
        <w:t>управления ими (</w:t>
      </w:r>
      <w:proofErr w:type="spellStart"/>
      <w:r w:rsidRPr="005E4FCB">
        <w:rPr>
          <w:rFonts w:ascii="Arial" w:hAnsi="Arial" w:cs="Arial"/>
          <w:sz w:val="20"/>
          <w:szCs w:val="20"/>
          <w:lang w:val="ru-RU"/>
        </w:rPr>
        <w:t>лимитирование</w:t>
      </w:r>
      <w:proofErr w:type="spellEnd"/>
      <w:r w:rsidRPr="005E4FCB">
        <w:rPr>
          <w:rFonts w:ascii="Arial" w:hAnsi="Arial" w:cs="Arial"/>
          <w:sz w:val="20"/>
          <w:szCs w:val="20"/>
          <w:lang w:val="ru-RU"/>
        </w:rPr>
        <w:t>, избегание, диверсификация, хеджирование и т.д.). Политика эмитента в области управления рисками.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В процессе подготовки могут быть использованы основные международные стандарты управления рисками:</w:t>
      </w:r>
    </w:p>
    <w:p w:rsidR="00E36D7A" w:rsidRPr="005E4FCB" w:rsidRDefault="00E36D7A" w:rsidP="00E36D7A">
      <w:pPr>
        <w:pStyle w:val="a3"/>
        <w:numPr>
          <w:ilvl w:val="0"/>
          <w:numId w:val="1"/>
        </w:numPr>
        <w:tabs>
          <w:tab w:val="left" w:pos="366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E4FCB">
        <w:rPr>
          <w:rFonts w:ascii="Arial" w:hAnsi="Arial" w:cs="Arial"/>
          <w:sz w:val="20"/>
          <w:szCs w:val="20"/>
        </w:rPr>
        <w:t>ISO/IEC 31010:2019 - Риск-менеджмент. Руководство по оценке рисков;</w:t>
      </w:r>
    </w:p>
    <w:p w:rsidR="00E36D7A" w:rsidRPr="005E4FCB" w:rsidRDefault="00E36D7A" w:rsidP="00E36D7A">
      <w:pPr>
        <w:pStyle w:val="a3"/>
        <w:numPr>
          <w:ilvl w:val="0"/>
          <w:numId w:val="1"/>
        </w:numPr>
        <w:tabs>
          <w:tab w:val="left" w:pos="366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E4FCB">
        <w:rPr>
          <w:rFonts w:ascii="Arial" w:hAnsi="Arial" w:cs="Arial"/>
          <w:sz w:val="20"/>
          <w:szCs w:val="20"/>
        </w:rPr>
        <w:t>ISO 31000:2019 - Риск-менеджмент. Принципы и рекомендации;</w:t>
      </w:r>
    </w:p>
    <w:p w:rsidR="00E36D7A" w:rsidRPr="005E4FCB" w:rsidRDefault="00E36D7A" w:rsidP="00E36D7A">
      <w:pPr>
        <w:pStyle w:val="a3"/>
        <w:numPr>
          <w:ilvl w:val="0"/>
          <w:numId w:val="1"/>
        </w:numPr>
        <w:tabs>
          <w:tab w:val="left" w:pos="366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E4FCB">
        <w:rPr>
          <w:rFonts w:ascii="Arial" w:hAnsi="Arial" w:cs="Arial"/>
          <w:sz w:val="20"/>
          <w:szCs w:val="20"/>
          <w:lang w:val="en-US"/>
        </w:rPr>
        <w:t xml:space="preserve">COSO II ERM - Integrated Framework. </w:t>
      </w:r>
      <w:r w:rsidRPr="005E4FCB">
        <w:rPr>
          <w:rFonts w:ascii="Arial" w:hAnsi="Arial" w:cs="Arial"/>
          <w:sz w:val="20"/>
          <w:szCs w:val="20"/>
        </w:rPr>
        <w:t>Интегрированная модель управления рисками организации (2004). Руководство по управлению рисками. Применение концепции COSO ERM (2020).</w:t>
      </w:r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bookmarkStart w:id="28" w:name="_Toc90649470"/>
    </w:p>
    <w:p w:rsidR="00E36D7A" w:rsidRPr="005E4FCB" w:rsidRDefault="00E36D7A" w:rsidP="00E36D7A">
      <w:pPr>
        <w:tabs>
          <w:tab w:val="left" w:pos="3668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11. ДОПОЛНИТЕЛЬНАЯ ИНФОРМАЦИЯ (УКАЗЫВАЕТСЯ ПО УСМОТРЕНИЮ ЭМИТЕНТА)</w:t>
      </w:r>
      <w:bookmarkEnd w:id="28"/>
    </w:p>
    <w:p w:rsidR="00D63C49" w:rsidRPr="001544A2" w:rsidRDefault="00D63C49" w:rsidP="00E36D7A">
      <w:pPr>
        <w:jc w:val="center"/>
        <w:rPr>
          <w:lang w:val="ru-RU"/>
        </w:rPr>
      </w:pPr>
    </w:p>
    <w:sectPr w:rsidR="00D63C49" w:rsidRPr="001544A2" w:rsidSect="00E36D7A">
      <w:footerReference w:type="default" r:id="rId10"/>
      <w:footerReference w:type="first" r:id="rId11"/>
      <w:pgSz w:w="11906" w:h="16838"/>
      <w:pgMar w:top="568" w:right="850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7F" w:rsidRDefault="003E507F" w:rsidP="001544A2">
      <w:pPr>
        <w:spacing w:line="240" w:lineRule="auto"/>
      </w:pPr>
      <w:r>
        <w:separator/>
      </w:r>
    </w:p>
  </w:endnote>
  <w:endnote w:type="continuationSeparator" w:id="0">
    <w:p w:rsidR="003E507F" w:rsidRDefault="003E507F" w:rsidP="00154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64613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343399" w:rsidRPr="00343399" w:rsidRDefault="00343399">
        <w:pPr>
          <w:pStyle w:val="ab"/>
          <w:jc w:val="right"/>
          <w:rPr>
            <w:rFonts w:ascii="Arial" w:hAnsi="Arial" w:cs="Arial"/>
            <w:sz w:val="18"/>
          </w:rPr>
        </w:pPr>
        <w:r w:rsidRPr="00343399">
          <w:rPr>
            <w:rFonts w:ascii="Arial" w:hAnsi="Arial" w:cs="Arial"/>
            <w:sz w:val="18"/>
          </w:rPr>
          <w:fldChar w:fldCharType="begin"/>
        </w:r>
        <w:r w:rsidRPr="00343399">
          <w:rPr>
            <w:rFonts w:ascii="Arial" w:hAnsi="Arial" w:cs="Arial"/>
            <w:sz w:val="18"/>
          </w:rPr>
          <w:instrText>PAGE   \* MERGEFORMAT</w:instrText>
        </w:r>
        <w:r w:rsidRPr="00343399">
          <w:rPr>
            <w:rFonts w:ascii="Arial" w:hAnsi="Arial" w:cs="Arial"/>
            <w:sz w:val="18"/>
          </w:rPr>
          <w:fldChar w:fldCharType="separate"/>
        </w:r>
        <w:r w:rsidRPr="00343399">
          <w:rPr>
            <w:rFonts w:ascii="Arial" w:hAnsi="Arial" w:cs="Arial"/>
            <w:noProof/>
            <w:sz w:val="18"/>
            <w:lang w:val="ru-RU"/>
          </w:rPr>
          <w:t>5</w:t>
        </w:r>
        <w:r w:rsidRPr="00343399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7843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1544A2" w:rsidRPr="001544A2" w:rsidRDefault="001544A2">
        <w:pPr>
          <w:pStyle w:val="ab"/>
          <w:jc w:val="right"/>
          <w:rPr>
            <w:rFonts w:ascii="Arial" w:hAnsi="Arial" w:cs="Arial"/>
            <w:sz w:val="18"/>
          </w:rPr>
        </w:pPr>
        <w:r w:rsidRPr="001544A2">
          <w:rPr>
            <w:rFonts w:ascii="Arial" w:hAnsi="Arial" w:cs="Arial"/>
            <w:sz w:val="18"/>
          </w:rPr>
          <w:fldChar w:fldCharType="begin"/>
        </w:r>
        <w:r w:rsidRPr="001544A2">
          <w:rPr>
            <w:rFonts w:ascii="Arial" w:hAnsi="Arial" w:cs="Arial"/>
            <w:sz w:val="18"/>
          </w:rPr>
          <w:instrText>PAGE   \* MERGEFORMAT</w:instrText>
        </w:r>
        <w:r w:rsidRPr="001544A2">
          <w:rPr>
            <w:rFonts w:ascii="Arial" w:hAnsi="Arial" w:cs="Arial"/>
            <w:sz w:val="18"/>
          </w:rPr>
          <w:fldChar w:fldCharType="separate"/>
        </w:r>
        <w:r w:rsidR="00343399" w:rsidRPr="00343399">
          <w:rPr>
            <w:rFonts w:ascii="Arial" w:hAnsi="Arial" w:cs="Arial"/>
            <w:noProof/>
            <w:sz w:val="18"/>
            <w:lang w:val="ru-RU"/>
          </w:rPr>
          <w:t>2</w:t>
        </w:r>
        <w:r w:rsidRPr="001544A2">
          <w:rPr>
            <w:rFonts w:ascii="Arial" w:hAnsi="Arial" w:cs="Arial"/>
            <w:sz w:val="18"/>
          </w:rPr>
          <w:fldChar w:fldCharType="end"/>
        </w:r>
      </w:p>
    </w:sdtContent>
  </w:sdt>
  <w:p w:rsidR="001544A2" w:rsidRDefault="001544A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7F" w:rsidRDefault="003E507F" w:rsidP="001544A2">
      <w:pPr>
        <w:spacing w:line="240" w:lineRule="auto"/>
      </w:pPr>
      <w:r>
        <w:separator/>
      </w:r>
    </w:p>
  </w:footnote>
  <w:footnote w:type="continuationSeparator" w:id="0">
    <w:p w:rsidR="003E507F" w:rsidRDefault="003E507F" w:rsidP="001544A2">
      <w:pPr>
        <w:spacing w:line="240" w:lineRule="auto"/>
      </w:pPr>
      <w:r>
        <w:continuationSeparator/>
      </w:r>
    </w:p>
  </w:footnote>
  <w:footnote w:id="1">
    <w:p w:rsidR="00E36D7A" w:rsidRPr="004651FF" w:rsidRDefault="00E36D7A" w:rsidP="00E36D7A">
      <w:pPr>
        <w:pStyle w:val="a6"/>
        <w:rPr>
          <w:rFonts w:ascii="Arial" w:hAnsi="Arial" w:cs="Arial"/>
        </w:rPr>
      </w:pPr>
      <w:r>
        <w:rPr>
          <w:rStyle w:val="a5"/>
          <w:rFonts w:eastAsiaTheme="majorEastAsia"/>
        </w:rPr>
        <w:footnoteRef/>
      </w:r>
      <w:r>
        <w:t xml:space="preserve"> </w:t>
      </w:r>
      <w:r w:rsidRPr="004651FF">
        <w:rPr>
          <w:rFonts w:ascii="Arial" w:hAnsi="Arial" w:cs="Arial"/>
          <w:sz w:val="18"/>
          <w:szCs w:val="18"/>
        </w:rPr>
        <w:t>Должность уполномоченного представителя эмитента указывается при ее наличии.</w:t>
      </w:r>
    </w:p>
  </w:footnote>
  <w:footnote w:id="2">
    <w:p w:rsidR="00E36D7A" w:rsidRDefault="00E36D7A" w:rsidP="00E36D7A">
      <w:pPr>
        <w:pStyle w:val="a6"/>
        <w:tabs>
          <w:tab w:val="left" w:pos="284"/>
        </w:tabs>
        <w:jc w:val="both"/>
        <w:rPr>
          <w:sz w:val="18"/>
          <w:szCs w:val="18"/>
        </w:rPr>
      </w:pPr>
      <w:r w:rsidRPr="004651FF">
        <w:rPr>
          <w:rStyle w:val="a5"/>
          <w:rFonts w:ascii="Arial" w:eastAsiaTheme="majorEastAsia" w:hAnsi="Arial" w:cs="Arial"/>
          <w:sz w:val="18"/>
          <w:szCs w:val="18"/>
        </w:rPr>
        <w:footnoteRef/>
      </w:r>
      <w:r w:rsidRPr="004651FF">
        <w:rPr>
          <w:rFonts w:ascii="Arial" w:hAnsi="Arial" w:cs="Arial"/>
          <w:sz w:val="18"/>
          <w:szCs w:val="18"/>
        </w:rPr>
        <w:t xml:space="preserve"> Указание на лицо, предоставляюще</w:t>
      </w:r>
      <w:r>
        <w:rPr>
          <w:rFonts w:ascii="Arial" w:hAnsi="Arial" w:cs="Arial"/>
          <w:sz w:val="18"/>
          <w:szCs w:val="18"/>
        </w:rPr>
        <w:t>е</w:t>
      </w:r>
      <w:r w:rsidRPr="004651FF">
        <w:rPr>
          <w:rFonts w:ascii="Arial" w:hAnsi="Arial" w:cs="Arial"/>
          <w:sz w:val="18"/>
          <w:szCs w:val="18"/>
        </w:rPr>
        <w:t xml:space="preserve"> обеспечение по облигациям, приводится в случае наличия </w:t>
      </w:r>
      <w:r>
        <w:rPr>
          <w:rFonts w:ascii="Arial" w:hAnsi="Arial" w:cs="Arial"/>
          <w:sz w:val="18"/>
          <w:szCs w:val="18"/>
        </w:rPr>
        <w:t>тако</w:t>
      </w:r>
      <w:r w:rsidRPr="004651FF">
        <w:rPr>
          <w:rFonts w:ascii="Arial" w:hAnsi="Arial" w:cs="Arial"/>
          <w:sz w:val="18"/>
          <w:szCs w:val="18"/>
        </w:rPr>
        <w:t>го лица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:rsidR="00E36D7A" w:rsidRPr="00FD79C8" w:rsidRDefault="00E36D7A" w:rsidP="00E36D7A">
      <w:pPr>
        <w:tabs>
          <w:tab w:val="left" w:pos="3668"/>
        </w:tabs>
        <w:spacing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val="ru-RU"/>
        </w:rPr>
      </w:pPr>
      <w:r>
        <w:rPr>
          <w:rStyle w:val="a5"/>
        </w:rPr>
        <w:footnoteRef/>
      </w:r>
      <w:r w:rsidRPr="00FD79C8">
        <w:rPr>
          <w:lang w:val="ru-RU"/>
        </w:rPr>
        <w:t xml:space="preserve"> </w:t>
      </w:r>
      <w:r w:rsidRPr="00FD79C8">
        <w:rPr>
          <w:rFonts w:ascii="Arial" w:eastAsia="Times New Roman" w:hAnsi="Arial" w:cs="Arial"/>
          <w:sz w:val="18"/>
          <w:szCs w:val="18"/>
          <w:lang w:val="ru-RU"/>
        </w:rPr>
        <w:t xml:space="preserve">ПАО «СПБ Биржа» рекомендует эмитенту самостоятельно определять объем и формат раскрытия информации, достаточные по его усмотрению для принятия инвестиционных решений, в зависимости от отраслевых особенностей и масштабов бизнеса. Отчет эмитента должен быть изложен языком, понятным для лиц, не являющихся квалифицированными инвесторами либо профессиональными участниками рынка ценных бумаг. </w:t>
      </w:r>
    </w:p>
    <w:p w:rsidR="00E36D7A" w:rsidRPr="00275AA7" w:rsidRDefault="00E36D7A" w:rsidP="00E36D7A">
      <w:pPr>
        <w:pStyle w:val="a6"/>
        <w:jc w:val="both"/>
        <w:rPr>
          <w:rFonts w:ascii="Arial" w:hAnsi="Arial" w:cs="Arial"/>
          <w:sz w:val="18"/>
          <w:szCs w:val="18"/>
        </w:rPr>
      </w:pPr>
      <w:r w:rsidRPr="00275AA7">
        <w:rPr>
          <w:rFonts w:ascii="Arial" w:hAnsi="Arial" w:cs="Arial"/>
          <w:sz w:val="18"/>
          <w:szCs w:val="18"/>
        </w:rPr>
        <w:t>В случае</w:t>
      </w:r>
      <w:proofErr w:type="gramStart"/>
      <w:r>
        <w:rPr>
          <w:rFonts w:ascii="Arial" w:hAnsi="Arial" w:cs="Arial"/>
          <w:sz w:val="18"/>
          <w:szCs w:val="18"/>
        </w:rPr>
        <w:t>,</w:t>
      </w:r>
      <w:proofErr w:type="gramEnd"/>
      <w:r w:rsidRPr="00275AA7">
        <w:rPr>
          <w:rFonts w:ascii="Arial" w:hAnsi="Arial" w:cs="Arial"/>
          <w:sz w:val="18"/>
          <w:szCs w:val="18"/>
        </w:rPr>
        <w:t xml:space="preserve"> если эмитент не готов представить информацию по указанным разделам настоящего </w:t>
      </w:r>
      <w:r>
        <w:rPr>
          <w:rFonts w:ascii="Arial" w:hAnsi="Arial" w:cs="Arial"/>
          <w:sz w:val="18"/>
          <w:szCs w:val="18"/>
        </w:rPr>
        <w:t xml:space="preserve">Отчета эмитента </w:t>
      </w:r>
      <w:r w:rsidRPr="00275AA7">
        <w:rPr>
          <w:rFonts w:ascii="Arial" w:hAnsi="Arial" w:cs="Arial"/>
          <w:sz w:val="18"/>
          <w:szCs w:val="18"/>
        </w:rPr>
        <w:t>в соответствии с принципами полноты раскрытия информации, достоверности/прозрачности, необходимо указать причины.</w:t>
      </w:r>
      <w:r w:rsidRPr="00881721">
        <w:rPr>
          <w:sz w:val="18"/>
          <w:szCs w:val="18"/>
        </w:rPr>
        <w:t xml:space="preserve"> </w:t>
      </w:r>
      <w:r w:rsidRPr="00881721">
        <w:rPr>
          <w:rFonts w:ascii="Arial" w:hAnsi="Arial" w:cs="Arial"/>
          <w:sz w:val="18"/>
          <w:szCs w:val="18"/>
        </w:rPr>
        <w:t>Сведения в отчете эмитента облигаций указываются по состоянию на дату окончания последнего завершенного отчетного года, в отношении которого на дату составления отчета эмитента облигаций истек установленный срок представления бухгалтерской (финансовой) отчетности или бухгалтерская (финансовая) отчетность за который составлена до истечения установленного срока ее представления.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1CCE"/>
    <w:multiLevelType w:val="hybridMultilevel"/>
    <w:tmpl w:val="2C9C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A06D2"/>
    <w:multiLevelType w:val="hybridMultilevel"/>
    <w:tmpl w:val="CD001AAE"/>
    <w:lvl w:ilvl="0" w:tplc="7F72AFE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20A43"/>
    <w:multiLevelType w:val="multilevel"/>
    <w:tmpl w:val="085ACB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FF"/>
    <w:rsid w:val="001544A2"/>
    <w:rsid w:val="00343399"/>
    <w:rsid w:val="003E507F"/>
    <w:rsid w:val="00A87DFF"/>
    <w:rsid w:val="00D63C49"/>
    <w:rsid w:val="00E3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44A2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1544A2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4A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1544A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styleId="a5">
    <w:name w:val="footnote reference"/>
    <w:rsid w:val="001544A2"/>
    <w:rPr>
      <w:vertAlign w:val="superscript"/>
    </w:rPr>
  </w:style>
  <w:style w:type="paragraph" w:styleId="a6">
    <w:name w:val="footnote text"/>
    <w:basedOn w:val="a"/>
    <w:link w:val="a7"/>
    <w:rsid w:val="001544A2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1544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15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1544A2"/>
    <w:rPr>
      <w:rFonts w:eastAsiaTheme="minorEastAsia"/>
      <w:lang w:eastAsia="ru-RU"/>
    </w:rPr>
  </w:style>
  <w:style w:type="character" w:customStyle="1" w:styleId="ConsPlusNormal">
    <w:name w:val="ConsPlusNormal Знак"/>
    <w:link w:val="ConsPlusNormal0"/>
    <w:locked/>
    <w:rsid w:val="001544A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544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544A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44A2"/>
    <w:rPr>
      <w:rFonts w:ascii="Bell MT" w:eastAsia="MS PMincho" w:hAnsi="Bell MT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1544A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44A2"/>
    <w:rPr>
      <w:rFonts w:ascii="Bell MT" w:eastAsia="MS PMincho" w:hAnsi="Bell MT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44A2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1544A2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4A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1544A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styleId="a5">
    <w:name w:val="footnote reference"/>
    <w:rsid w:val="001544A2"/>
    <w:rPr>
      <w:vertAlign w:val="superscript"/>
    </w:rPr>
  </w:style>
  <w:style w:type="paragraph" w:styleId="a6">
    <w:name w:val="footnote text"/>
    <w:basedOn w:val="a"/>
    <w:link w:val="a7"/>
    <w:rsid w:val="001544A2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1544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15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1544A2"/>
    <w:rPr>
      <w:rFonts w:eastAsiaTheme="minorEastAsia"/>
      <w:lang w:eastAsia="ru-RU"/>
    </w:rPr>
  </w:style>
  <w:style w:type="character" w:customStyle="1" w:styleId="ConsPlusNormal">
    <w:name w:val="ConsPlusNormal Знак"/>
    <w:link w:val="ConsPlusNormal0"/>
    <w:locked/>
    <w:rsid w:val="001544A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544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544A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44A2"/>
    <w:rPr>
      <w:rFonts w:ascii="Bell MT" w:eastAsia="MS PMincho" w:hAnsi="Bell MT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1544A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44A2"/>
    <w:rPr>
      <w:rFonts w:ascii="Bell MT" w:eastAsia="MS PMincho" w:hAnsi="Bell M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4D0C2-E80D-4B3F-A01A-50FB00FF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3</cp:revision>
  <dcterms:created xsi:type="dcterms:W3CDTF">2023-04-19T14:31:00Z</dcterms:created>
  <dcterms:modified xsi:type="dcterms:W3CDTF">2023-04-19T14:33:00Z</dcterms:modified>
</cp:coreProperties>
</file>